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0078A4DE" w:rsidR="001D6CFC" w:rsidRPr="00BE74D0" w:rsidRDefault="002F4138">
      <w:pPr>
        <w:rPr>
          <w:rFonts w:ascii="Times New Roman" w:hAnsi="Times New Roman" w:cs="Times New Roman"/>
        </w:rPr>
      </w:pPr>
      <w:r w:rsidRPr="00BE74D0">
        <w:rPr>
          <w:rFonts w:ascii="Times New Roman" w:hAnsi="Times New Roman" w:cs="Times New Roman"/>
        </w:rPr>
        <w:t xml:space="preserve">Dr </w:t>
      </w:r>
      <w:r w:rsidR="00BE74D0" w:rsidRPr="00BE74D0">
        <w:rPr>
          <w:rFonts w:ascii="Times New Roman" w:hAnsi="Times New Roman" w:cs="Times New Roman"/>
        </w:rPr>
        <w:t>Dariusz Danilewicz</w:t>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p>
    <w:p w14:paraId="51D9941D" w14:textId="5746BBB0" w:rsidR="001D6CFC" w:rsidRPr="00BE74D0" w:rsidRDefault="002F4138">
      <w:pPr>
        <w:rPr>
          <w:rFonts w:ascii="Times New Roman" w:hAnsi="Times New Roman" w:cs="Times New Roman"/>
        </w:rPr>
      </w:pPr>
      <w:r w:rsidRPr="00BE74D0">
        <w:rPr>
          <w:rFonts w:ascii="Times New Roman" w:hAnsi="Times New Roman" w:cs="Times New Roman"/>
        </w:rPr>
        <w:t>Szkoła Główna Handlowa w Warszawie</w:t>
      </w:r>
    </w:p>
    <w:p w14:paraId="097FB266" w14:textId="02EB9AC5" w:rsidR="001D6CFC" w:rsidRPr="00BE74D0" w:rsidRDefault="001D6CFC">
      <w:pPr>
        <w:rPr>
          <w:rFonts w:ascii="Times New Roman" w:hAnsi="Times New Roman" w:cs="Times New Roman"/>
        </w:rPr>
      </w:pPr>
    </w:p>
    <w:p w14:paraId="239D3562" w14:textId="52312E09" w:rsidR="001D6CFC" w:rsidRPr="00BE74D0" w:rsidRDefault="00BE74D0" w:rsidP="00BE74D0">
      <w:pPr>
        <w:pStyle w:val="doc-ti"/>
        <w:spacing w:line="360" w:lineRule="auto"/>
        <w:jc w:val="center"/>
        <w:rPr>
          <w:b/>
        </w:rPr>
      </w:pPr>
      <w:r w:rsidRPr="00BE74D0">
        <w:rPr>
          <w:b/>
        </w:rPr>
        <w:t>Nowe trendy  technologiczne a zmiany w edukacji – wybrane elementy</w:t>
      </w:r>
      <w:r w:rsidR="003A08FC" w:rsidRPr="00BE74D0">
        <w:rPr>
          <w:rStyle w:val="Odwoanieprzypisudolnego"/>
          <w:b/>
          <w:bCs/>
          <w:color w:val="000000" w:themeColor="text1"/>
        </w:rPr>
        <w:footnoteReference w:id="1"/>
      </w:r>
    </w:p>
    <w:p w14:paraId="5D1B579B" w14:textId="7CFCC28D" w:rsidR="001D6CFC" w:rsidRPr="00BE74D0" w:rsidRDefault="001D6CFC" w:rsidP="001D6CFC">
      <w:pPr>
        <w:jc w:val="center"/>
        <w:rPr>
          <w:rFonts w:ascii="Times New Roman" w:hAnsi="Times New Roman" w:cs="Times New Roman"/>
          <w:b/>
          <w:bCs/>
        </w:rPr>
      </w:pPr>
    </w:p>
    <w:p w14:paraId="0DEE64F0" w14:textId="078F8006" w:rsidR="00E37B04" w:rsidRDefault="001D6CFC" w:rsidP="00F72B64">
      <w:pPr>
        <w:spacing w:line="240" w:lineRule="auto"/>
        <w:jc w:val="both"/>
        <w:rPr>
          <w:rFonts w:ascii="Times New Roman" w:hAnsi="Times New Roman" w:cs="Times New Roman"/>
          <w:sz w:val="20"/>
          <w:szCs w:val="20"/>
        </w:rPr>
      </w:pPr>
      <w:r w:rsidRPr="00BE74D0">
        <w:rPr>
          <w:rFonts w:ascii="Times New Roman" w:hAnsi="Times New Roman" w:cs="Times New Roman"/>
          <w:sz w:val="20"/>
          <w:szCs w:val="20"/>
        </w:rPr>
        <w:t xml:space="preserve">Streszczenie: </w:t>
      </w:r>
      <w:r w:rsidR="00F72B64" w:rsidRPr="00BE74D0">
        <w:rPr>
          <w:rFonts w:ascii="Times New Roman" w:hAnsi="Times New Roman" w:cs="Times New Roman"/>
          <w:sz w:val="20"/>
          <w:szCs w:val="20"/>
        </w:rPr>
        <w:t xml:space="preserve">Artykuł </w:t>
      </w:r>
      <w:r w:rsidR="00BE74D0" w:rsidRPr="00BE74D0">
        <w:rPr>
          <w:rFonts w:ascii="Times New Roman" w:hAnsi="Times New Roman" w:cs="Times New Roman"/>
          <w:sz w:val="20"/>
          <w:szCs w:val="20"/>
        </w:rPr>
        <w:t>przedstawia wybrane elementy dotyczące trendów społeczno-gospodarczych,  tym trendów technologicznych i ich wpływ na funkcjonowanie systemu edukacji</w:t>
      </w:r>
      <w:r w:rsidR="00E37B04" w:rsidRPr="00BE74D0">
        <w:rPr>
          <w:rFonts w:ascii="Times New Roman" w:hAnsi="Times New Roman" w:cs="Times New Roman"/>
          <w:sz w:val="20"/>
          <w:szCs w:val="20"/>
        </w:rPr>
        <w:t>.</w:t>
      </w:r>
    </w:p>
    <w:p w14:paraId="272F1C0E" w14:textId="77777777" w:rsidR="00AB2A93" w:rsidRPr="00BE74D0" w:rsidRDefault="00AB2A93" w:rsidP="00F72B64">
      <w:pPr>
        <w:spacing w:line="240" w:lineRule="auto"/>
        <w:jc w:val="both"/>
        <w:rPr>
          <w:rFonts w:ascii="Times New Roman" w:hAnsi="Times New Roman" w:cs="Times New Roman"/>
          <w:sz w:val="20"/>
          <w:szCs w:val="20"/>
        </w:rPr>
      </w:pPr>
    </w:p>
    <w:p w14:paraId="1E6B81F6" w14:textId="50733B5E" w:rsidR="0099331F" w:rsidRPr="00BE74D0" w:rsidRDefault="00BE74D0" w:rsidP="0099331F">
      <w:pPr>
        <w:pStyle w:val="Nagwek2"/>
        <w:spacing w:line="360" w:lineRule="auto"/>
        <w:rPr>
          <w:rFonts w:ascii="Times New Roman" w:hAnsi="Times New Roman" w:cs="Times New Roman"/>
          <w:b/>
          <w:bCs/>
          <w:color w:val="000000" w:themeColor="text1"/>
          <w:sz w:val="24"/>
          <w:szCs w:val="24"/>
        </w:rPr>
      </w:pPr>
      <w:r w:rsidRPr="00BE74D0">
        <w:rPr>
          <w:rFonts w:ascii="Times New Roman" w:hAnsi="Times New Roman" w:cs="Times New Roman"/>
          <w:b/>
          <w:bCs/>
          <w:color w:val="000000" w:themeColor="text1"/>
          <w:sz w:val="24"/>
          <w:szCs w:val="24"/>
        </w:rPr>
        <w:t>Wstęp</w:t>
      </w:r>
    </w:p>
    <w:p w14:paraId="762464D2" w14:textId="77777777" w:rsidR="00BE74D0" w:rsidRPr="00BE74D0" w:rsidRDefault="00BE74D0" w:rsidP="00BE74D0">
      <w:pPr>
        <w:pStyle w:val="doc-ti"/>
        <w:spacing w:line="360" w:lineRule="auto"/>
        <w:jc w:val="both"/>
      </w:pPr>
      <w:r w:rsidRPr="00BE74D0">
        <w:t>Przed współczesną szkołą, a już na pewno szkołą przyszłości, rysuje się nowe zadanie: decydenci wpływający na sposób funkcjonowania systemu edukacji i poszczególnych jednostek oświatowych muszą przyjąć odmienną perspektywę postrzegania przyszłości i zmian zachodzących w gospodarkach. Analiza otoczenia i predykcja przyszłości – w takim wymiarze, jaki jest możliwe – zamiast opierania się na przeszłych założeniach nie powinno stanowić dla szkół zagrożenia. Należy te działania traktować jako nowe wyzwanie.</w:t>
      </w:r>
    </w:p>
    <w:p w14:paraId="6D3CBFE7" w14:textId="7FC80E1F" w:rsidR="00BE74D0" w:rsidRPr="00BE74D0" w:rsidRDefault="00BE74D0" w:rsidP="00BE74D0">
      <w:pPr>
        <w:pStyle w:val="doc-ti"/>
        <w:spacing w:line="360" w:lineRule="auto"/>
        <w:jc w:val="both"/>
      </w:pPr>
      <w:r w:rsidRPr="00BE74D0">
        <w:t>Z pewnością nie jest to zadanie łatwe, bowiem analizy Światowego Forum Ekonomicznego szacują, że 65% dzieci rozpoczynających naukę w szkole podstawowej znajdzie pracę w zawodach, które dziś jeszcze nie występują na rynkach pracy – a więc nie ma odpowiedzi na pytanie, jakie kompetencje w odniesieniu do tych zawodów są najistotniejsze, nie ma też recepty, jak te kompetencje kształcić</w:t>
      </w:r>
      <w:r w:rsidRPr="00BE74D0">
        <w:rPr>
          <w:rStyle w:val="Odwoanieprzypisudolnego"/>
        </w:rPr>
        <w:footnoteReference w:id="2"/>
      </w:r>
      <w:r w:rsidRPr="00BE74D0">
        <w:t xml:space="preserve">. </w:t>
      </w:r>
    </w:p>
    <w:p w14:paraId="38D2B552" w14:textId="0A6B8136" w:rsidR="00BE74D0" w:rsidRPr="00BE74D0" w:rsidRDefault="00BE74D0" w:rsidP="00BE74D0">
      <w:pPr>
        <w:pStyle w:val="Nagwek2"/>
        <w:spacing w:line="360" w:lineRule="auto"/>
        <w:rPr>
          <w:rFonts w:ascii="Times New Roman" w:hAnsi="Times New Roman" w:cs="Times New Roman"/>
          <w:b/>
          <w:bCs/>
          <w:color w:val="000000" w:themeColor="text1"/>
          <w:sz w:val="24"/>
          <w:szCs w:val="24"/>
        </w:rPr>
      </w:pPr>
      <w:proofErr w:type="spellStart"/>
      <w:r w:rsidRPr="00BE74D0">
        <w:rPr>
          <w:rFonts w:ascii="Times New Roman" w:hAnsi="Times New Roman" w:cs="Times New Roman"/>
          <w:b/>
          <w:bCs/>
          <w:color w:val="000000" w:themeColor="text1"/>
          <w:sz w:val="24"/>
          <w:szCs w:val="24"/>
        </w:rPr>
        <w:t>Megtrendy</w:t>
      </w:r>
      <w:proofErr w:type="spellEnd"/>
      <w:r>
        <w:rPr>
          <w:rFonts w:ascii="Times New Roman" w:hAnsi="Times New Roman" w:cs="Times New Roman"/>
          <w:b/>
          <w:bCs/>
          <w:color w:val="000000" w:themeColor="text1"/>
          <w:sz w:val="24"/>
          <w:szCs w:val="24"/>
        </w:rPr>
        <w:t xml:space="preserve"> a edukacja</w:t>
      </w:r>
    </w:p>
    <w:p w14:paraId="4E9AE53F" w14:textId="77777777" w:rsidR="00BE74D0" w:rsidRPr="00BE74D0" w:rsidRDefault="00BE74D0" w:rsidP="00BE74D0">
      <w:pPr>
        <w:pStyle w:val="doc-ti"/>
        <w:spacing w:line="360" w:lineRule="auto"/>
        <w:jc w:val="both"/>
      </w:pPr>
      <w:r w:rsidRPr="00BE74D0">
        <w:t xml:space="preserve">Edukacja musi odpowiedzieć na </w:t>
      </w:r>
      <w:proofErr w:type="spellStart"/>
      <w:r w:rsidRPr="00BE74D0">
        <w:t>megatrendy</w:t>
      </w:r>
      <w:proofErr w:type="spellEnd"/>
      <w:r w:rsidRPr="00BE74D0">
        <w:rPr>
          <w:rStyle w:val="Odwoanieprzypisudolnego"/>
        </w:rPr>
        <w:footnoteReference w:id="3"/>
      </w:r>
      <w:r w:rsidRPr="00BE74D0">
        <w:t xml:space="preserve">, które jesteśmy w stanie przewidzieć. W świecie biznesu coraz większe znaczenie przykłada się do kształtowania wartości w oparciu o </w:t>
      </w:r>
      <w:r w:rsidRPr="00BE74D0">
        <w:lastRenderedPageBreak/>
        <w:t xml:space="preserve">doświadczenia różnych grup interesariuszy (w szczególności klientów-konsumentów, ale także dostawców, kooperantów itd.). </w:t>
      </w:r>
      <w:proofErr w:type="spellStart"/>
      <w:r w:rsidRPr="00BE74D0">
        <w:t>Euromonitor</w:t>
      </w:r>
      <w:proofErr w:type="spellEnd"/>
      <w:r w:rsidRPr="00BE74D0">
        <w:t xml:space="preserve"> International opublikował listę </w:t>
      </w:r>
      <w:proofErr w:type="spellStart"/>
      <w:r w:rsidRPr="00BE74D0">
        <w:t>megatrendów</w:t>
      </w:r>
      <w:proofErr w:type="spellEnd"/>
      <w:r w:rsidRPr="00BE74D0">
        <w:t>, które mają wpływać na zachowania konsumentów w najbliższej dekadzie</w:t>
      </w:r>
      <w:r w:rsidRPr="00BE74D0">
        <w:rPr>
          <w:rStyle w:val="Odwoanieprzypisudolnego"/>
        </w:rPr>
        <w:footnoteReference w:id="4"/>
      </w:r>
      <w:r w:rsidRPr="00BE74D0">
        <w:t>. Czynnikami, które mają wpływ na ich kształt są:</w:t>
      </w:r>
    </w:p>
    <w:p w14:paraId="2759841F" w14:textId="77777777" w:rsidR="00BE74D0" w:rsidRPr="00BE74D0" w:rsidRDefault="00BE74D0" w:rsidP="00BE74D0">
      <w:pPr>
        <w:pStyle w:val="doc-ti"/>
        <w:numPr>
          <w:ilvl w:val="0"/>
          <w:numId w:val="7"/>
        </w:numPr>
        <w:spacing w:line="360" w:lineRule="auto"/>
        <w:rPr>
          <w:noProof/>
        </w:rPr>
      </w:pPr>
      <w:r w:rsidRPr="00BE74D0">
        <w:rPr>
          <w:noProof/>
        </w:rPr>
        <w:t>zmiany technologiczne (coraz szybsze pojawianie się innowacji technologicznych i ich wpływ na większość populacji świata)</w:t>
      </w:r>
      <w:r w:rsidRPr="00BE74D0">
        <w:rPr>
          <w:rStyle w:val="Odwoanieprzypisudolnego"/>
          <w:noProof/>
        </w:rPr>
        <w:footnoteReference w:id="5"/>
      </w:r>
      <w:r w:rsidRPr="00BE74D0">
        <w:rPr>
          <w:noProof/>
        </w:rPr>
        <w:t>,</w:t>
      </w:r>
    </w:p>
    <w:p w14:paraId="302E51C2" w14:textId="77777777" w:rsidR="00BE74D0" w:rsidRPr="00BE74D0" w:rsidRDefault="00BE74D0" w:rsidP="00BE74D0">
      <w:pPr>
        <w:pStyle w:val="doc-ti"/>
        <w:numPr>
          <w:ilvl w:val="0"/>
          <w:numId w:val="7"/>
        </w:numPr>
        <w:spacing w:line="360" w:lineRule="auto"/>
        <w:jc w:val="both"/>
        <w:rPr>
          <w:noProof/>
        </w:rPr>
      </w:pPr>
      <w:r w:rsidRPr="00BE74D0">
        <w:rPr>
          <w:noProof/>
        </w:rPr>
        <w:t>zmiany ekonomiczne (coraz większy udział krajów rozwijających się w światowym PKB),</w:t>
      </w:r>
    </w:p>
    <w:p w14:paraId="7C0357AA" w14:textId="77777777" w:rsidR="00BE74D0" w:rsidRPr="00BE74D0" w:rsidRDefault="00BE74D0" w:rsidP="00BE74D0">
      <w:pPr>
        <w:pStyle w:val="doc-ti"/>
        <w:numPr>
          <w:ilvl w:val="0"/>
          <w:numId w:val="7"/>
        </w:numPr>
        <w:spacing w:line="360" w:lineRule="auto"/>
        <w:jc w:val="both"/>
        <w:rPr>
          <w:noProof/>
        </w:rPr>
      </w:pPr>
      <w:r w:rsidRPr="00BE74D0">
        <w:rPr>
          <w:noProof/>
        </w:rPr>
        <w:t>zmiany demograficzne (spadające wskaźniki urodzeń, coraz większa liczba konsumentów w wieku powyżej 65 lat, rosnąca urbanizacja, migracje),</w:t>
      </w:r>
    </w:p>
    <w:p w14:paraId="27470CF2" w14:textId="77777777" w:rsidR="00BE74D0" w:rsidRPr="00BE74D0" w:rsidRDefault="00BE74D0" w:rsidP="00BE74D0">
      <w:pPr>
        <w:pStyle w:val="doc-ti"/>
        <w:numPr>
          <w:ilvl w:val="0"/>
          <w:numId w:val="7"/>
        </w:numPr>
        <w:spacing w:line="360" w:lineRule="auto"/>
        <w:jc w:val="both"/>
        <w:rPr>
          <w:noProof/>
        </w:rPr>
      </w:pPr>
      <w:r w:rsidRPr="00BE74D0">
        <w:rPr>
          <w:noProof/>
        </w:rPr>
        <w:t>zmiany w środowisku naturalnym (rosnący popyt na surowce naturalne, rosnąca emisja CO</w:t>
      </w:r>
      <w:r w:rsidRPr="00BE74D0">
        <w:rPr>
          <w:noProof/>
          <w:vertAlign w:val="subscript"/>
        </w:rPr>
        <w:t>2</w:t>
      </w:r>
      <w:r w:rsidRPr="00BE74D0">
        <w:rPr>
          <w:noProof/>
        </w:rPr>
        <w:t xml:space="preserve"> jako efekt uboczny rosnącego PKB w krajach rozwijających się, ocieplenie klimatu, katastrofy klimatyczne),</w:t>
      </w:r>
    </w:p>
    <w:p w14:paraId="6BC860E0" w14:textId="77777777" w:rsidR="00BE74D0" w:rsidRPr="00BE74D0" w:rsidRDefault="00BE74D0" w:rsidP="00BE74D0">
      <w:pPr>
        <w:pStyle w:val="doc-ti"/>
        <w:numPr>
          <w:ilvl w:val="0"/>
          <w:numId w:val="7"/>
        </w:numPr>
        <w:spacing w:line="360" w:lineRule="auto"/>
        <w:jc w:val="both"/>
        <w:rPr>
          <w:noProof/>
        </w:rPr>
      </w:pPr>
      <w:r w:rsidRPr="00BE74D0">
        <w:rPr>
          <w:noProof/>
        </w:rPr>
        <w:t>zmiany w zakresie wyznawanych wartości (np. indywidualizacja i odejście od masowości produkacji, rosnące znaczenie oszczędzania czasu, wzrost znaczenia zrónoważonego zarządzania).</w:t>
      </w:r>
    </w:p>
    <w:p w14:paraId="01395DBA" w14:textId="77777777" w:rsidR="00BE74D0" w:rsidRPr="00BE74D0" w:rsidRDefault="00BE74D0" w:rsidP="00BE74D0">
      <w:pPr>
        <w:pStyle w:val="NormalnyWeb"/>
        <w:spacing w:line="360" w:lineRule="auto"/>
        <w:jc w:val="both"/>
      </w:pPr>
      <w:r w:rsidRPr="00BE74D0">
        <w:t xml:space="preserve">Firma Deloitte przedstawiła analizę </w:t>
      </w:r>
      <w:proofErr w:type="spellStart"/>
      <w:r w:rsidRPr="00BE74D0">
        <w:t>megatrendów</w:t>
      </w:r>
      <w:proofErr w:type="spellEnd"/>
      <w:r w:rsidRPr="00BE74D0">
        <w:t xml:space="preserve"> mających największy wpływ na kształt globalnej gospodarki</w:t>
      </w:r>
      <w:r w:rsidRPr="00BE74D0">
        <w:rPr>
          <w:rStyle w:val="Odwoanieprzypisudolnego"/>
        </w:rPr>
        <w:footnoteReference w:id="6"/>
      </w:r>
      <w:r w:rsidRPr="00BE74D0">
        <w:t>. Są wśród nich m.in:</w:t>
      </w:r>
    </w:p>
    <w:p w14:paraId="10CD4EDD" w14:textId="77777777" w:rsidR="00BE74D0" w:rsidRPr="00BE74D0" w:rsidRDefault="00BE74D0" w:rsidP="00BE74D0">
      <w:pPr>
        <w:pStyle w:val="doc-ti"/>
        <w:numPr>
          <w:ilvl w:val="0"/>
          <w:numId w:val="7"/>
        </w:numPr>
        <w:spacing w:line="360" w:lineRule="auto"/>
        <w:jc w:val="both"/>
        <w:rPr>
          <w:noProof/>
        </w:rPr>
      </w:pPr>
      <w:r w:rsidRPr="00BE74D0">
        <w:rPr>
          <w:noProof/>
        </w:rPr>
        <w:t>gospodarka 4.0 (przemysł 4.0) – koncepcja kolejnej rewolucji przemysłowej w związku ze współczesnym wzajemnym wykorzystywaniem automatyzacji, przetwarzania i wymiany danych oraz technik wytwórczych.Cytując wypowiedż eksperta Deloitte „do najważniejszych rozwiązań napędzających rozwój przemysłu 4.0 należy Internet Rzeczy (IoT), uczenie maszynowe, sztuczna inteligencja oraz rozszerzona i wirtualna rzeczywistość (AR i VR)”,</w:t>
      </w:r>
    </w:p>
    <w:p w14:paraId="2F5720CC" w14:textId="77777777" w:rsidR="00BE74D0" w:rsidRPr="00BE74D0" w:rsidRDefault="00BE74D0" w:rsidP="00BE74D0">
      <w:pPr>
        <w:pStyle w:val="doc-ti"/>
        <w:numPr>
          <w:ilvl w:val="0"/>
          <w:numId w:val="7"/>
        </w:numPr>
        <w:spacing w:line="360" w:lineRule="auto"/>
        <w:jc w:val="both"/>
        <w:rPr>
          <w:noProof/>
        </w:rPr>
      </w:pPr>
      <w:r w:rsidRPr="00BE74D0">
        <w:rPr>
          <w:noProof/>
        </w:rPr>
        <w:lastRenderedPageBreak/>
        <w:t>rozwój gospodarek o obiegu zamkniętym, gdzie tradycyjny model wykorzystania zasobów „produkcja-zużycie-wyrzucenie” jest wypierany przez model „zamkniętej pętli”, w którym odpady, jeśli powstają, stają się surowcem,</w:t>
      </w:r>
    </w:p>
    <w:p w14:paraId="3C91ED0A" w14:textId="77777777" w:rsidR="00BE74D0" w:rsidRPr="00BE74D0" w:rsidRDefault="00BE74D0" w:rsidP="00BE74D0">
      <w:pPr>
        <w:pStyle w:val="doc-ti"/>
        <w:numPr>
          <w:ilvl w:val="0"/>
          <w:numId w:val="7"/>
        </w:numPr>
        <w:spacing w:line="360" w:lineRule="auto"/>
        <w:jc w:val="both"/>
        <w:rPr>
          <w:noProof/>
        </w:rPr>
      </w:pPr>
      <w:r w:rsidRPr="00BE74D0">
        <w:rPr>
          <w:noProof/>
        </w:rPr>
        <w:t>zrównoważone finanse i inwestowanie z myślą o wpływie na otoczenie i stopniowe odchodzenia od zysku jako jedynego kryterium inwestycji,</w:t>
      </w:r>
    </w:p>
    <w:p w14:paraId="453F804C" w14:textId="77777777" w:rsidR="00BE74D0" w:rsidRPr="00BE74D0" w:rsidRDefault="00BE74D0" w:rsidP="00BE74D0">
      <w:pPr>
        <w:pStyle w:val="doc-ti"/>
        <w:numPr>
          <w:ilvl w:val="0"/>
          <w:numId w:val="7"/>
        </w:numPr>
        <w:spacing w:line="360" w:lineRule="auto"/>
        <w:jc w:val="both"/>
      </w:pPr>
      <w:proofErr w:type="spellStart"/>
      <w:r w:rsidRPr="00BE74D0">
        <w:t>megatrendy</w:t>
      </w:r>
      <w:proofErr w:type="spellEnd"/>
      <w:r w:rsidRPr="00BE74D0">
        <w:t xml:space="preserve"> na rynku pracy: zmiany demograficzne, uczenie się przez całe życie, samozatrudnienie, elastyczne formy zatrudnienia, praca zdalna, wolni strzelcy w gospodarce.</w:t>
      </w:r>
    </w:p>
    <w:p w14:paraId="55CF7696" w14:textId="5BC08A3B" w:rsidR="00BE74D0" w:rsidRPr="00BE74D0" w:rsidRDefault="00BE74D0" w:rsidP="00BE74D0">
      <w:pPr>
        <w:pStyle w:val="Nagwek2"/>
        <w:spacing w:line="360" w:lineRule="auto"/>
        <w:rPr>
          <w:rFonts w:ascii="Times New Roman" w:hAnsi="Times New Roman" w:cs="Times New Roman"/>
          <w:b/>
          <w:bCs/>
          <w:color w:val="000000" w:themeColor="text1"/>
          <w:sz w:val="24"/>
          <w:szCs w:val="24"/>
        </w:rPr>
      </w:pPr>
      <w:r w:rsidRPr="00BE74D0">
        <w:rPr>
          <w:rFonts w:ascii="Times New Roman" w:hAnsi="Times New Roman" w:cs="Times New Roman"/>
          <w:b/>
          <w:bCs/>
          <w:color w:val="000000" w:themeColor="text1"/>
          <w:sz w:val="24"/>
          <w:szCs w:val="24"/>
        </w:rPr>
        <w:t>Wpływ globalizacji</w:t>
      </w:r>
    </w:p>
    <w:p w14:paraId="3029B5BB" w14:textId="5948B834" w:rsidR="00BE74D0" w:rsidRPr="00BE74D0" w:rsidRDefault="00BE74D0" w:rsidP="00BE74D0">
      <w:pPr>
        <w:pStyle w:val="doc-ti"/>
        <w:spacing w:line="360" w:lineRule="auto"/>
        <w:jc w:val="both"/>
      </w:pPr>
      <w:r w:rsidRPr="00BE74D0">
        <w:t>Globalizacja i wzrastająca konkurencja będzie wymuszać na podmiotach gospodarczych znalezienie odpowiedzi na szereg pytań pozwalających na budowanie wartości firm i budowę trwałej przewagi konkurencyjnej – często w oparciu o zasady etycznego prowadzenia działalności biznesowej. Najważniejsze z nich będą dotyczyć następujących zagadnień:</w:t>
      </w:r>
    </w:p>
    <w:p w14:paraId="4B2DA3C5" w14:textId="77777777" w:rsidR="00BE74D0" w:rsidRPr="00BE74D0" w:rsidRDefault="00BE74D0" w:rsidP="00BE74D0">
      <w:pPr>
        <w:pStyle w:val="doc-ti"/>
        <w:numPr>
          <w:ilvl w:val="0"/>
          <w:numId w:val="7"/>
        </w:numPr>
        <w:spacing w:line="360" w:lineRule="auto"/>
        <w:jc w:val="both"/>
      </w:pPr>
      <w:r w:rsidRPr="00BE74D0">
        <w:t>zysk jako cel funkcjonowania przedsiębiorstwa czy środek ? środek ku czemu?</w:t>
      </w:r>
    </w:p>
    <w:p w14:paraId="30F0986E" w14:textId="77777777" w:rsidR="00BE74D0" w:rsidRPr="00BE74D0" w:rsidRDefault="00BE74D0" w:rsidP="00BE74D0">
      <w:pPr>
        <w:pStyle w:val="doc-ti"/>
        <w:numPr>
          <w:ilvl w:val="0"/>
          <w:numId w:val="7"/>
        </w:numPr>
        <w:spacing w:line="360" w:lineRule="auto"/>
        <w:jc w:val="both"/>
      </w:pPr>
      <w:r w:rsidRPr="00BE74D0">
        <w:t>czym jest odpowiedzialna przedsiębiorczość?</w:t>
      </w:r>
    </w:p>
    <w:p w14:paraId="191481F7" w14:textId="77777777" w:rsidR="00BE74D0" w:rsidRPr="00BE74D0" w:rsidRDefault="00BE74D0" w:rsidP="00BE74D0">
      <w:pPr>
        <w:pStyle w:val="doc-ti"/>
        <w:numPr>
          <w:ilvl w:val="0"/>
          <w:numId w:val="7"/>
        </w:numPr>
        <w:spacing w:line="360" w:lineRule="auto"/>
        <w:jc w:val="both"/>
      </w:pPr>
      <w:r w:rsidRPr="00BE74D0">
        <w:t>gdzie inwestować: w gospodarkę realną czy na rynkach finansowych?</w:t>
      </w:r>
    </w:p>
    <w:p w14:paraId="42CA9794" w14:textId="77777777" w:rsidR="00BE74D0" w:rsidRPr="00BE74D0" w:rsidRDefault="00BE74D0" w:rsidP="00BE74D0">
      <w:pPr>
        <w:pStyle w:val="doc-ti"/>
        <w:numPr>
          <w:ilvl w:val="0"/>
          <w:numId w:val="7"/>
        </w:numPr>
        <w:spacing w:line="360" w:lineRule="auto"/>
        <w:jc w:val="both"/>
      </w:pPr>
      <w:r w:rsidRPr="00BE74D0">
        <w:t>jak minimalizować koszty własne i jednocześnie maksymalizować sprzedaż?</w:t>
      </w:r>
    </w:p>
    <w:p w14:paraId="7125E11A" w14:textId="77777777" w:rsidR="00BE74D0" w:rsidRPr="00BE74D0" w:rsidRDefault="00BE74D0" w:rsidP="00BE74D0">
      <w:pPr>
        <w:pStyle w:val="doc-ti"/>
        <w:numPr>
          <w:ilvl w:val="0"/>
          <w:numId w:val="7"/>
        </w:numPr>
        <w:spacing w:line="360" w:lineRule="auto"/>
        <w:jc w:val="both"/>
      </w:pPr>
      <w:r w:rsidRPr="00BE74D0">
        <w:t>jak konkurować nie niszcząc konkurencji?</w:t>
      </w:r>
    </w:p>
    <w:p w14:paraId="5539A891" w14:textId="77777777" w:rsidR="00BE74D0" w:rsidRPr="00BE74D0" w:rsidRDefault="00BE74D0" w:rsidP="00BE74D0">
      <w:pPr>
        <w:pStyle w:val="doc-ti"/>
        <w:numPr>
          <w:ilvl w:val="0"/>
          <w:numId w:val="7"/>
        </w:numPr>
        <w:spacing w:line="360" w:lineRule="auto"/>
        <w:jc w:val="both"/>
      </w:pPr>
      <w:r w:rsidRPr="00BE74D0">
        <w:t>czy nastawiać się w działalności firmy na konsumencką wolność czy konsumpcyjne zniewolenie?</w:t>
      </w:r>
    </w:p>
    <w:p w14:paraId="2004A1E9" w14:textId="77777777" w:rsidR="00BE74D0" w:rsidRPr="00BE74D0" w:rsidRDefault="00BE74D0" w:rsidP="00BE74D0">
      <w:pPr>
        <w:pStyle w:val="doc-ti"/>
        <w:numPr>
          <w:ilvl w:val="0"/>
          <w:numId w:val="7"/>
        </w:numPr>
        <w:spacing w:line="360" w:lineRule="auto"/>
        <w:jc w:val="both"/>
      </w:pPr>
      <w:r w:rsidRPr="00BE74D0">
        <w:t>jak pogodzić wzrost zapotrzebowania na interwencje socjalne z osłabieniem państwa opiekuńczego?</w:t>
      </w:r>
    </w:p>
    <w:p w14:paraId="6CC43C50" w14:textId="77777777" w:rsidR="00BE74D0" w:rsidRPr="00BE74D0" w:rsidRDefault="00BE74D0" w:rsidP="00BE74D0">
      <w:pPr>
        <w:pStyle w:val="doc-ti"/>
        <w:numPr>
          <w:ilvl w:val="0"/>
          <w:numId w:val="7"/>
        </w:numPr>
        <w:spacing w:line="360" w:lineRule="auto"/>
        <w:jc w:val="both"/>
      </w:pPr>
      <w:r w:rsidRPr="00BE74D0">
        <w:t>jak podejmować odpowiedzialność ekologiczną i sprostać konkurencji?</w:t>
      </w:r>
    </w:p>
    <w:p w14:paraId="3F4AACA4" w14:textId="77777777" w:rsidR="00BE74D0" w:rsidRPr="00BE74D0" w:rsidRDefault="00BE74D0" w:rsidP="00BE74D0">
      <w:pPr>
        <w:pStyle w:val="doc-ti"/>
        <w:numPr>
          <w:ilvl w:val="0"/>
          <w:numId w:val="7"/>
        </w:numPr>
        <w:spacing w:line="360" w:lineRule="auto"/>
        <w:jc w:val="both"/>
      </w:pPr>
      <w:r w:rsidRPr="00BE74D0">
        <w:t>jak pogodzić uniwersalne i partykularne elementy standardu etycznego w korporacjach ponadnarodowych?</w:t>
      </w:r>
    </w:p>
    <w:p w14:paraId="2ECDF8DB" w14:textId="77777777" w:rsidR="00BE74D0" w:rsidRPr="00BE74D0" w:rsidRDefault="00BE74D0" w:rsidP="00BE74D0">
      <w:pPr>
        <w:pStyle w:val="doc-ti"/>
        <w:numPr>
          <w:ilvl w:val="0"/>
          <w:numId w:val="7"/>
        </w:numPr>
        <w:spacing w:line="360" w:lineRule="auto"/>
        <w:jc w:val="both"/>
      </w:pPr>
      <w:r w:rsidRPr="00BE74D0">
        <w:t>jak pogodzić sukces rynkowy z sukcesem życiowym właścicieli, menedżerów, pracowników?</w:t>
      </w:r>
    </w:p>
    <w:p w14:paraId="591B1D8A" w14:textId="3A630365" w:rsidR="00BE74D0" w:rsidRPr="00BE74D0" w:rsidRDefault="00BE74D0" w:rsidP="00BE74D0">
      <w:pPr>
        <w:pStyle w:val="doc-ti"/>
        <w:spacing w:line="360" w:lineRule="auto"/>
        <w:jc w:val="both"/>
        <w:rPr>
          <w:b/>
          <w:bCs/>
        </w:rPr>
      </w:pPr>
      <w:r w:rsidRPr="00BE74D0">
        <w:rPr>
          <w:b/>
          <w:bCs/>
        </w:rPr>
        <w:t>Wpływ technologii</w:t>
      </w:r>
    </w:p>
    <w:p w14:paraId="2ED0A4E7" w14:textId="28156D9E" w:rsidR="00BE74D0" w:rsidRPr="00BE74D0" w:rsidRDefault="00BE74D0" w:rsidP="00BE74D0">
      <w:pPr>
        <w:pStyle w:val="doc-ti"/>
        <w:spacing w:line="360" w:lineRule="auto"/>
        <w:jc w:val="both"/>
      </w:pPr>
      <w:r w:rsidRPr="00BE74D0">
        <w:lastRenderedPageBreak/>
        <w:t xml:space="preserve">Dziś wydaje się już trywialnym stwierdzenie, że technologia zaczyna odgrywać centralną rolę w prawie wszystkich aspektach naszego życia (często nie zdając sobie sprawy z tego, w jak wielu dziedzinach naszego życia stykamy się z nowoczesnymi technologiami). Wedle szacunków do 2020 roku na całym świecie będzie 1,5 miliona nowych </w:t>
      </w:r>
      <w:proofErr w:type="spellStart"/>
      <w:r w:rsidRPr="00BE74D0">
        <w:t>zdigitalizowanych</w:t>
      </w:r>
      <w:proofErr w:type="spellEnd"/>
      <w:r w:rsidRPr="00BE74D0">
        <w:t xml:space="preserve"> miejsc pracy. Jednocześnie obecnie 90% organizacji ma niedobory w zakresie kompetencji z zakresu IT wśród swoich pracowników. Ponadto 75% nauczycieli i studentów uważa, że istnieje luka w ich zdolnościach do sprostania potrzebom kadry IT w zakresie umiejętności. Aby rozwijać talenty potrzebne w gospodarce cyfrowej, edukacja – i jest to jedno z ważniejszych wyzwań – musi się dostosowywać do realiów tak szybko, jak rośnie zapotrzebowanie na umiejętności informatyczne</w:t>
      </w:r>
      <w:r w:rsidRPr="00BE74D0">
        <w:rPr>
          <w:rStyle w:val="Odwoanieprzypisudolnego"/>
        </w:rPr>
        <w:footnoteReference w:id="7"/>
      </w:r>
      <w:r w:rsidRPr="00BE74D0">
        <w:t>. Wskazane jest więc (i możliwe) łączenie edukacji ekonomicznej z edukacją informatyczną – pracodawcy będą przecież potrzebować pracobiorców specjalizujących się w wybranych zagadnieniach IT i rozumiejących zasady funkcjonowania świata biznesu.</w:t>
      </w:r>
    </w:p>
    <w:p w14:paraId="1941DFCC" w14:textId="2D849EAF" w:rsidR="00156875" w:rsidRPr="00BE74D0" w:rsidRDefault="008A7028" w:rsidP="00DC4E7F">
      <w:pPr>
        <w:autoSpaceDE w:val="0"/>
        <w:autoSpaceDN w:val="0"/>
        <w:adjustRightInd w:val="0"/>
        <w:spacing w:after="0" w:line="240" w:lineRule="auto"/>
        <w:jc w:val="both"/>
        <w:rPr>
          <w:rFonts w:ascii="Times New Roman" w:hAnsi="Times New Roman" w:cs="Times New Roman"/>
          <w:sz w:val="24"/>
          <w:szCs w:val="24"/>
        </w:rPr>
      </w:pPr>
      <w:r w:rsidRPr="00BE74D0">
        <w:rPr>
          <w:rFonts w:ascii="Times New Roman" w:hAnsi="Times New Roman" w:cs="Times New Roman"/>
        </w:rPr>
        <w:t xml:space="preserve"> </w:t>
      </w:r>
    </w:p>
    <w:p w14:paraId="2C644038" w14:textId="41A93FA7" w:rsidR="006D02A0" w:rsidRPr="00BE74D0" w:rsidRDefault="006D02A0" w:rsidP="006D02A0">
      <w:pPr>
        <w:pStyle w:val="Nagwek2"/>
        <w:spacing w:line="360" w:lineRule="auto"/>
        <w:rPr>
          <w:rFonts w:ascii="Times New Roman" w:hAnsi="Times New Roman" w:cs="Times New Roman"/>
          <w:b/>
          <w:bCs/>
          <w:color w:val="000000" w:themeColor="text1"/>
          <w:sz w:val="24"/>
          <w:szCs w:val="24"/>
        </w:rPr>
      </w:pPr>
      <w:r w:rsidRPr="00BE74D0">
        <w:rPr>
          <w:rFonts w:ascii="Times New Roman" w:hAnsi="Times New Roman" w:cs="Times New Roman"/>
          <w:b/>
          <w:bCs/>
          <w:color w:val="000000" w:themeColor="text1"/>
          <w:sz w:val="24"/>
          <w:szCs w:val="24"/>
        </w:rPr>
        <w:t>P</w:t>
      </w:r>
      <w:r w:rsidR="00AD25B4">
        <w:rPr>
          <w:rFonts w:ascii="Times New Roman" w:hAnsi="Times New Roman" w:cs="Times New Roman"/>
          <w:b/>
          <w:bCs/>
          <w:color w:val="000000" w:themeColor="text1"/>
          <w:sz w:val="24"/>
          <w:szCs w:val="24"/>
        </w:rPr>
        <w:t>odsumowanie</w:t>
      </w:r>
    </w:p>
    <w:p w14:paraId="35562998" w14:textId="46F90F78" w:rsidR="00AD25B4" w:rsidRPr="00AD25B4" w:rsidRDefault="00AD25B4" w:rsidP="00AD25B4">
      <w:pPr>
        <w:pStyle w:val="doc-ti"/>
        <w:spacing w:line="360" w:lineRule="auto"/>
        <w:jc w:val="both"/>
        <w:rPr>
          <w:color w:val="000000" w:themeColor="text1"/>
        </w:rPr>
      </w:pPr>
      <w:r>
        <w:rPr>
          <w:color w:val="000000" w:themeColor="text1"/>
        </w:rPr>
        <w:t xml:space="preserve">Decydenci na poziomie centralnym oraz lokalnym muszą uwzględniać na etapie planowania organizacji i programów i planów nauczania występowanie zmian globalnych występujących w otoczeniu społeczno-gospodarczym. Wskazany jest też zwrócenie uwagi na </w:t>
      </w:r>
      <w:r w:rsidRPr="00AD25B4">
        <w:t>prognozy</w:t>
      </w:r>
      <w:r>
        <w:rPr>
          <w:color w:val="000000" w:themeColor="text1"/>
        </w:rPr>
        <w:t xml:space="preserve"> dotyczące kluczowych zmian w zakresie technologii wykorzystywanych w niedalekiej przyszłości, zmian ekonomicznych, demograficznych, społeczno-kulturowych, jak również </w:t>
      </w:r>
      <w:r w:rsidR="00AB2A93">
        <w:rPr>
          <w:color w:val="000000" w:themeColor="text1"/>
        </w:rPr>
        <w:t xml:space="preserve">związanych ze zmianą wyznawanych wartości. Próba nadążania za tymi trendami nie jest łatwa, jednakże jedynie pozorne zmiany w programach i planach nauczania oraz organizacji procesu nauczania wpłynie w przyszłości na spadek konkurencyjności polskiej gospodarki z uwagi na niższy poziom kompetencji młodzieży wkraczającej na rynek pracy. </w:t>
      </w:r>
    </w:p>
    <w:p w14:paraId="16B3C47E" w14:textId="77777777" w:rsidR="00AD25B4" w:rsidRPr="00AD25B4" w:rsidRDefault="00AD25B4" w:rsidP="00AD25B4"/>
    <w:p w14:paraId="622ED372" w14:textId="387D2DE3" w:rsidR="006D02A0" w:rsidRPr="00AD25B4" w:rsidRDefault="006D02A0" w:rsidP="00156875">
      <w:pPr>
        <w:pStyle w:val="Nagwek2"/>
        <w:spacing w:line="360" w:lineRule="auto"/>
        <w:rPr>
          <w:rFonts w:ascii="Times New Roman" w:hAnsi="Times New Roman" w:cs="Times New Roman"/>
          <w:b/>
          <w:bCs/>
          <w:color w:val="000000" w:themeColor="text1"/>
          <w:sz w:val="24"/>
          <w:szCs w:val="24"/>
        </w:rPr>
      </w:pPr>
      <w:r w:rsidRPr="00AD25B4">
        <w:rPr>
          <w:rFonts w:ascii="Times New Roman" w:hAnsi="Times New Roman" w:cs="Times New Roman"/>
          <w:b/>
          <w:bCs/>
          <w:color w:val="000000" w:themeColor="text1"/>
          <w:sz w:val="24"/>
          <w:szCs w:val="24"/>
        </w:rPr>
        <w:t xml:space="preserve">Bibliografia </w:t>
      </w:r>
    </w:p>
    <w:p w14:paraId="7D420D81" w14:textId="77777777" w:rsidR="00BE74D0" w:rsidRPr="00BE74D0" w:rsidRDefault="00BE74D0" w:rsidP="00BE74D0">
      <w:pPr>
        <w:pStyle w:val="Tekstprzypisudolnego"/>
        <w:numPr>
          <w:ilvl w:val="0"/>
          <w:numId w:val="8"/>
        </w:numPr>
        <w:jc w:val="both"/>
        <w:rPr>
          <w:rStyle w:val="Hipercze"/>
          <w:rFonts w:ascii="Times New Roman" w:hAnsi="Times New Roman" w:cs="Times New Roman"/>
          <w:color w:val="auto"/>
          <w:sz w:val="24"/>
          <w:szCs w:val="24"/>
          <w:u w:val="none"/>
          <w:lang w:val="en-US"/>
        </w:rPr>
      </w:pPr>
      <w:proofErr w:type="spellStart"/>
      <w:r w:rsidRPr="00BE74D0">
        <w:rPr>
          <w:rFonts w:ascii="Times New Roman" w:hAnsi="Times New Roman" w:cs="Times New Roman"/>
          <w:sz w:val="24"/>
          <w:szCs w:val="24"/>
          <w:lang w:val="en-US"/>
        </w:rPr>
        <w:t>Boumphrey</w:t>
      </w:r>
      <w:proofErr w:type="spellEnd"/>
      <w:r w:rsidRPr="00BE74D0">
        <w:rPr>
          <w:rFonts w:ascii="Times New Roman" w:hAnsi="Times New Roman" w:cs="Times New Roman"/>
          <w:sz w:val="24"/>
          <w:szCs w:val="24"/>
          <w:lang w:val="en-US"/>
        </w:rPr>
        <w:t xml:space="preserve"> S., </w:t>
      </w:r>
      <w:proofErr w:type="spellStart"/>
      <w:r w:rsidRPr="00BE74D0">
        <w:rPr>
          <w:rFonts w:ascii="Times New Roman" w:hAnsi="Times New Roman" w:cs="Times New Roman"/>
          <w:sz w:val="24"/>
          <w:szCs w:val="24"/>
          <w:lang w:val="en-US"/>
        </w:rPr>
        <w:t>Brehmer</w:t>
      </w:r>
      <w:proofErr w:type="spellEnd"/>
      <w:r w:rsidRPr="00BE74D0">
        <w:rPr>
          <w:rFonts w:ascii="Times New Roman" w:hAnsi="Times New Roman" w:cs="Times New Roman"/>
          <w:sz w:val="24"/>
          <w:szCs w:val="24"/>
          <w:lang w:val="en-US"/>
        </w:rPr>
        <w:t xml:space="preserve"> Z., </w:t>
      </w:r>
      <w:r w:rsidRPr="00BE74D0">
        <w:rPr>
          <w:rFonts w:ascii="Times New Roman" w:hAnsi="Times New Roman" w:cs="Times New Roman"/>
          <w:i/>
          <w:sz w:val="24"/>
          <w:szCs w:val="24"/>
          <w:lang w:val="en-US"/>
        </w:rPr>
        <w:t>Megatrend Analysis Putting the Consumer at the Heart of Business</w:t>
      </w:r>
      <w:r w:rsidRPr="00BE74D0">
        <w:rPr>
          <w:rFonts w:ascii="Times New Roman" w:hAnsi="Times New Roman" w:cs="Times New Roman"/>
          <w:sz w:val="24"/>
          <w:szCs w:val="24"/>
          <w:lang w:val="en-US"/>
        </w:rPr>
        <w:t xml:space="preserve">, </w:t>
      </w:r>
      <w:hyperlink r:id="rId8" w:history="1">
        <w:r w:rsidRPr="00BE74D0">
          <w:rPr>
            <w:rStyle w:val="Hipercze"/>
            <w:rFonts w:ascii="Times New Roman" w:hAnsi="Times New Roman" w:cs="Times New Roman"/>
            <w:sz w:val="24"/>
            <w:szCs w:val="24"/>
            <w:lang w:val="en-US"/>
          </w:rPr>
          <w:t>http://go.euromonitor.com/rs/805-KOK-719/images/wpMegatrendAnalysis.pdf</w:t>
        </w:r>
      </w:hyperlink>
      <w:r w:rsidRPr="00BE74D0">
        <w:rPr>
          <w:rStyle w:val="Hipercze"/>
          <w:rFonts w:ascii="Times New Roman" w:hAnsi="Times New Roman" w:cs="Times New Roman"/>
          <w:sz w:val="24"/>
          <w:szCs w:val="24"/>
          <w:lang w:val="en-US"/>
        </w:rPr>
        <w:t>.</w:t>
      </w:r>
    </w:p>
    <w:p w14:paraId="6A0D18B4" w14:textId="77777777" w:rsidR="00BE74D0" w:rsidRPr="00BE74D0" w:rsidRDefault="00BE74D0" w:rsidP="00BE74D0">
      <w:pPr>
        <w:pStyle w:val="Tekstprzypisudolnego"/>
        <w:numPr>
          <w:ilvl w:val="0"/>
          <w:numId w:val="8"/>
        </w:numPr>
        <w:jc w:val="both"/>
        <w:rPr>
          <w:rFonts w:ascii="Times New Roman" w:hAnsi="Times New Roman" w:cs="Times New Roman"/>
          <w:sz w:val="24"/>
          <w:szCs w:val="24"/>
          <w:lang w:val="en-US"/>
        </w:rPr>
      </w:pPr>
      <w:proofErr w:type="spellStart"/>
      <w:r w:rsidRPr="00BE74D0">
        <w:rPr>
          <w:rFonts w:ascii="Times New Roman" w:hAnsi="Times New Roman" w:cs="Times New Roman"/>
          <w:sz w:val="24"/>
          <w:szCs w:val="24"/>
          <w:lang w:val="en-US"/>
        </w:rPr>
        <w:t>Frezzo</w:t>
      </w:r>
      <w:proofErr w:type="spellEnd"/>
      <w:r w:rsidRPr="00BE74D0">
        <w:rPr>
          <w:rFonts w:ascii="Times New Roman" w:hAnsi="Times New Roman" w:cs="Times New Roman"/>
          <w:sz w:val="24"/>
          <w:szCs w:val="24"/>
          <w:lang w:val="en-US"/>
        </w:rPr>
        <w:t xml:space="preserve"> D., </w:t>
      </w:r>
      <w:r w:rsidRPr="00BE74D0">
        <w:rPr>
          <w:rFonts w:ascii="Times New Roman" w:hAnsi="Times New Roman" w:cs="Times New Roman"/>
          <w:i/>
          <w:sz w:val="24"/>
          <w:szCs w:val="24"/>
          <w:lang w:val="en-US"/>
        </w:rPr>
        <w:t>The role of technology in the education of the future</w:t>
      </w:r>
      <w:r w:rsidRPr="00BE74D0">
        <w:rPr>
          <w:rFonts w:ascii="Times New Roman" w:hAnsi="Times New Roman" w:cs="Times New Roman"/>
          <w:sz w:val="24"/>
          <w:szCs w:val="24"/>
          <w:lang w:val="en-US"/>
        </w:rPr>
        <w:t xml:space="preserve">, </w:t>
      </w:r>
      <w:hyperlink r:id="rId9" w:history="1">
        <w:r w:rsidRPr="00BE74D0">
          <w:rPr>
            <w:rStyle w:val="Hipercze"/>
            <w:rFonts w:ascii="Times New Roman" w:hAnsi="Times New Roman" w:cs="Times New Roman"/>
            <w:sz w:val="24"/>
            <w:szCs w:val="24"/>
            <w:lang w:val="en-US"/>
          </w:rPr>
          <w:t>https://www.weforum.org/agenda/2017/05/science-of-learning/</w:t>
        </w:r>
      </w:hyperlink>
      <w:r w:rsidRPr="00BE74D0">
        <w:rPr>
          <w:rFonts w:ascii="Times New Roman" w:hAnsi="Times New Roman" w:cs="Times New Roman"/>
          <w:sz w:val="24"/>
          <w:szCs w:val="24"/>
          <w:lang w:val="en-US"/>
        </w:rPr>
        <w:t>.</w:t>
      </w:r>
    </w:p>
    <w:p w14:paraId="50C7E8BE" w14:textId="77777777" w:rsidR="00BE74D0" w:rsidRPr="00BE74D0" w:rsidRDefault="00BE74D0" w:rsidP="00AC0543">
      <w:pPr>
        <w:pStyle w:val="Tekstprzypisudolnego"/>
        <w:numPr>
          <w:ilvl w:val="0"/>
          <w:numId w:val="8"/>
        </w:numPr>
        <w:jc w:val="both"/>
        <w:rPr>
          <w:rFonts w:ascii="Times New Roman" w:hAnsi="Times New Roman" w:cs="Times New Roman"/>
          <w:lang w:val="en-US"/>
        </w:rPr>
      </w:pPr>
      <w:proofErr w:type="spellStart"/>
      <w:r w:rsidRPr="00BE74D0">
        <w:rPr>
          <w:rStyle w:val="reference-text"/>
          <w:rFonts w:ascii="Times New Roman" w:hAnsi="Times New Roman" w:cs="Times New Roman"/>
          <w:sz w:val="24"/>
          <w:szCs w:val="24"/>
          <w:lang w:val="en-US"/>
        </w:rPr>
        <w:lastRenderedPageBreak/>
        <w:t>Naisbitt</w:t>
      </w:r>
      <w:proofErr w:type="spellEnd"/>
      <w:r w:rsidRPr="00BE74D0">
        <w:rPr>
          <w:rStyle w:val="reference-text"/>
          <w:rFonts w:ascii="Times New Roman" w:hAnsi="Times New Roman" w:cs="Times New Roman"/>
          <w:sz w:val="24"/>
          <w:szCs w:val="24"/>
          <w:lang w:val="en-US"/>
        </w:rPr>
        <w:t xml:space="preserve"> J., </w:t>
      </w:r>
      <w:r w:rsidRPr="00BE74D0">
        <w:rPr>
          <w:rStyle w:val="reference-text"/>
          <w:rFonts w:ascii="Times New Roman" w:hAnsi="Times New Roman" w:cs="Times New Roman"/>
          <w:i/>
          <w:iCs/>
          <w:sz w:val="24"/>
          <w:szCs w:val="24"/>
          <w:lang w:val="en-US"/>
        </w:rPr>
        <w:t>Megatrends: Ten New Directions Transforming Our Lives</w:t>
      </w:r>
      <w:r w:rsidRPr="00BE74D0">
        <w:rPr>
          <w:rStyle w:val="reference-text"/>
          <w:rFonts w:ascii="Times New Roman" w:hAnsi="Times New Roman" w:cs="Times New Roman"/>
          <w:sz w:val="24"/>
          <w:szCs w:val="24"/>
          <w:lang w:val="en-US"/>
        </w:rPr>
        <w:t>. Warner Books / Warner Communications Company, 1982</w:t>
      </w:r>
      <w:r w:rsidRPr="00BE74D0">
        <w:rPr>
          <w:rFonts w:ascii="Times New Roman" w:hAnsi="Times New Roman" w:cs="Times New Roman"/>
          <w:sz w:val="24"/>
          <w:szCs w:val="24"/>
          <w:lang w:val="en-US"/>
        </w:rPr>
        <w:t>.</w:t>
      </w:r>
    </w:p>
    <w:p w14:paraId="4281F0F3" w14:textId="0BB2432E" w:rsidR="00AF1184" w:rsidRPr="00BE74D0" w:rsidRDefault="00BE74D0" w:rsidP="00AC0543">
      <w:pPr>
        <w:pStyle w:val="Tekstprzypisudolnego"/>
        <w:numPr>
          <w:ilvl w:val="0"/>
          <w:numId w:val="8"/>
        </w:numPr>
        <w:jc w:val="both"/>
        <w:rPr>
          <w:rFonts w:ascii="Times New Roman" w:hAnsi="Times New Roman" w:cs="Times New Roman"/>
          <w:lang w:val="en-US"/>
        </w:rPr>
      </w:pPr>
      <w:hyperlink r:id="rId10" w:history="1">
        <w:r w:rsidRPr="00BE74D0">
          <w:rPr>
            <w:rStyle w:val="Hipercze"/>
            <w:rFonts w:ascii="Times New Roman" w:hAnsi="Times New Roman" w:cs="Times New Roman"/>
            <w:sz w:val="24"/>
            <w:szCs w:val="24"/>
            <w:lang w:val="en-US"/>
          </w:rPr>
          <w:t>https://www2.deloitte.com/pl/pl/pages/press-releases/articles/megatrendy-ekonomiczne-2018.html</w:t>
        </w:r>
      </w:hyperlink>
    </w:p>
    <w:sectPr w:rsidR="00AF1184" w:rsidRPr="00BE74D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542C" w14:textId="77777777" w:rsidR="000A7B16" w:rsidRDefault="000A7B16" w:rsidP="001D6CFC">
      <w:pPr>
        <w:spacing w:after="0" w:line="240" w:lineRule="auto"/>
      </w:pPr>
      <w:r>
        <w:separator/>
      </w:r>
    </w:p>
  </w:endnote>
  <w:endnote w:type="continuationSeparator" w:id="0">
    <w:p w14:paraId="0D858A45" w14:textId="77777777" w:rsidR="000A7B16" w:rsidRDefault="000A7B16"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E1F6" w14:textId="77777777" w:rsidR="000A7B16" w:rsidRDefault="000A7B16" w:rsidP="001D6CFC">
      <w:pPr>
        <w:spacing w:after="0" w:line="240" w:lineRule="auto"/>
      </w:pPr>
      <w:r>
        <w:separator/>
      </w:r>
    </w:p>
  </w:footnote>
  <w:footnote w:type="continuationSeparator" w:id="0">
    <w:p w14:paraId="5363CAFE" w14:textId="77777777" w:rsidR="000A7B16" w:rsidRDefault="000A7B16"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1553065D" w14:textId="77777777" w:rsidR="00BE74D0" w:rsidRPr="00FE6FF4" w:rsidRDefault="00BE74D0" w:rsidP="00BE74D0">
      <w:pPr>
        <w:pStyle w:val="Tekstprzypisudolnego"/>
        <w:jc w:val="both"/>
        <w:rPr>
          <w:rFonts w:cstheme="minorHAnsi"/>
          <w:sz w:val="22"/>
          <w:szCs w:val="22"/>
          <w:lang w:val="en-US"/>
        </w:rPr>
      </w:pPr>
      <w:r w:rsidRPr="00B975D1">
        <w:rPr>
          <w:rStyle w:val="Odwoanieprzypisudolnego"/>
          <w:rFonts w:cstheme="minorHAnsi"/>
          <w:sz w:val="22"/>
          <w:szCs w:val="22"/>
        </w:rPr>
        <w:footnoteRef/>
      </w:r>
      <w:r w:rsidRPr="00FE6FF4">
        <w:rPr>
          <w:rFonts w:cstheme="minorHAnsi"/>
          <w:sz w:val="22"/>
          <w:szCs w:val="22"/>
          <w:lang w:val="en-US"/>
        </w:rPr>
        <w:t xml:space="preserve"> </w:t>
      </w:r>
      <w:proofErr w:type="spellStart"/>
      <w:r w:rsidRPr="00FE6FF4">
        <w:rPr>
          <w:rFonts w:cstheme="minorHAnsi"/>
          <w:sz w:val="22"/>
          <w:szCs w:val="22"/>
          <w:lang w:val="en-US"/>
        </w:rPr>
        <w:t>Frezzo</w:t>
      </w:r>
      <w:proofErr w:type="spellEnd"/>
      <w:r w:rsidRPr="00FE6FF4">
        <w:rPr>
          <w:rFonts w:cstheme="minorHAnsi"/>
          <w:sz w:val="22"/>
          <w:szCs w:val="22"/>
          <w:lang w:val="en-US"/>
        </w:rPr>
        <w:t xml:space="preserve"> D., </w:t>
      </w:r>
      <w:r w:rsidRPr="00FE6FF4">
        <w:rPr>
          <w:rFonts w:cstheme="minorHAnsi"/>
          <w:i/>
          <w:sz w:val="22"/>
          <w:szCs w:val="22"/>
          <w:lang w:val="en-US"/>
        </w:rPr>
        <w:t>The role of technology in the education of the future</w:t>
      </w:r>
      <w:r w:rsidRPr="00FE6FF4">
        <w:rPr>
          <w:rFonts w:cstheme="minorHAnsi"/>
          <w:sz w:val="22"/>
          <w:szCs w:val="22"/>
          <w:lang w:val="en-US"/>
        </w:rPr>
        <w:t xml:space="preserve">, </w:t>
      </w:r>
      <w:hyperlink r:id="rId1" w:history="1">
        <w:r w:rsidRPr="00FE6FF4">
          <w:rPr>
            <w:rStyle w:val="Hipercze"/>
            <w:rFonts w:cstheme="minorHAnsi"/>
            <w:sz w:val="22"/>
            <w:szCs w:val="22"/>
            <w:lang w:val="en-US"/>
          </w:rPr>
          <w:t>https://www.weforum.org/agenda/2017/05/science-of-learning/</w:t>
        </w:r>
      </w:hyperlink>
      <w:r w:rsidRPr="00FE6FF4">
        <w:rPr>
          <w:rFonts w:cstheme="minorHAnsi"/>
          <w:sz w:val="22"/>
          <w:szCs w:val="22"/>
          <w:lang w:val="en-US"/>
        </w:rPr>
        <w:t>.</w:t>
      </w:r>
    </w:p>
  </w:footnote>
  <w:footnote w:id="3">
    <w:p w14:paraId="2D27EC76" w14:textId="77777777" w:rsidR="00BE74D0" w:rsidRPr="00FE6FF4" w:rsidRDefault="00BE74D0" w:rsidP="00BE74D0">
      <w:pPr>
        <w:pStyle w:val="Tekstprzypisudolnego"/>
        <w:jc w:val="both"/>
        <w:rPr>
          <w:sz w:val="22"/>
          <w:szCs w:val="22"/>
          <w:lang w:val="en-US"/>
        </w:rPr>
      </w:pPr>
      <w:r w:rsidRPr="00B975D1">
        <w:rPr>
          <w:rStyle w:val="Odwoanieprzypisudolnego"/>
          <w:sz w:val="22"/>
          <w:szCs w:val="22"/>
        </w:rPr>
        <w:footnoteRef/>
      </w:r>
      <w:r w:rsidRPr="00B975D1">
        <w:rPr>
          <w:sz w:val="22"/>
          <w:szCs w:val="22"/>
        </w:rPr>
        <w:t xml:space="preserve"> Jednym z pierwszych autorów, który wprowadził do nauki pojęcie </w:t>
      </w:r>
      <w:proofErr w:type="spellStart"/>
      <w:r w:rsidRPr="00B975D1">
        <w:rPr>
          <w:sz w:val="22"/>
          <w:szCs w:val="22"/>
        </w:rPr>
        <w:t>megatrnedów</w:t>
      </w:r>
      <w:proofErr w:type="spellEnd"/>
      <w:r w:rsidRPr="00B975D1">
        <w:rPr>
          <w:sz w:val="22"/>
          <w:szCs w:val="22"/>
        </w:rPr>
        <w:t xml:space="preserve"> był J. </w:t>
      </w:r>
      <w:proofErr w:type="spellStart"/>
      <w:r w:rsidRPr="00B975D1">
        <w:rPr>
          <w:sz w:val="22"/>
          <w:szCs w:val="22"/>
        </w:rPr>
        <w:t>Naisbitt</w:t>
      </w:r>
      <w:proofErr w:type="spellEnd"/>
      <w:r w:rsidRPr="00B975D1">
        <w:rPr>
          <w:sz w:val="22"/>
          <w:szCs w:val="22"/>
        </w:rPr>
        <w:t xml:space="preserve">. </w:t>
      </w:r>
      <w:proofErr w:type="spellStart"/>
      <w:r w:rsidRPr="00FE6FF4">
        <w:rPr>
          <w:sz w:val="22"/>
          <w:szCs w:val="22"/>
          <w:lang w:val="en-US"/>
        </w:rPr>
        <w:t>Więcej</w:t>
      </w:r>
      <w:proofErr w:type="spellEnd"/>
      <w:r w:rsidRPr="00FE6FF4">
        <w:rPr>
          <w:sz w:val="22"/>
          <w:szCs w:val="22"/>
          <w:lang w:val="en-US"/>
        </w:rPr>
        <w:t xml:space="preserve">: </w:t>
      </w:r>
      <w:proofErr w:type="spellStart"/>
      <w:r w:rsidRPr="00FE6FF4">
        <w:rPr>
          <w:rStyle w:val="reference-text"/>
          <w:sz w:val="22"/>
          <w:szCs w:val="22"/>
          <w:lang w:val="en-US"/>
        </w:rPr>
        <w:t>Naisbitt</w:t>
      </w:r>
      <w:proofErr w:type="spellEnd"/>
      <w:r w:rsidRPr="00FE6FF4">
        <w:rPr>
          <w:rStyle w:val="reference-text"/>
          <w:sz w:val="22"/>
          <w:szCs w:val="22"/>
          <w:lang w:val="en-US"/>
        </w:rPr>
        <w:t xml:space="preserve"> J., </w:t>
      </w:r>
      <w:r w:rsidRPr="00FE6FF4">
        <w:rPr>
          <w:rStyle w:val="reference-text"/>
          <w:i/>
          <w:iCs/>
          <w:sz w:val="22"/>
          <w:szCs w:val="22"/>
          <w:lang w:val="en-US"/>
        </w:rPr>
        <w:t>Megatrends: Ten New Directions Transforming Our Lives</w:t>
      </w:r>
      <w:r w:rsidRPr="00FE6FF4">
        <w:rPr>
          <w:rStyle w:val="reference-text"/>
          <w:sz w:val="22"/>
          <w:szCs w:val="22"/>
          <w:lang w:val="en-US"/>
        </w:rPr>
        <w:t>. Warner Books / Warner Communications Company, 1982.</w:t>
      </w:r>
    </w:p>
  </w:footnote>
  <w:footnote w:id="4">
    <w:p w14:paraId="6FA73A10" w14:textId="77777777" w:rsidR="00BE74D0" w:rsidRPr="00FE6FF4" w:rsidRDefault="00BE74D0" w:rsidP="00BE74D0">
      <w:pPr>
        <w:pStyle w:val="Tekstprzypisudolnego"/>
        <w:jc w:val="both"/>
        <w:rPr>
          <w:sz w:val="22"/>
          <w:szCs w:val="22"/>
          <w:lang w:val="en-US"/>
        </w:rPr>
      </w:pPr>
      <w:r w:rsidRPr="00B975D1">
        <w:rPr>
          <w:rStyle w:val="Odwoanieprzypisudolnego"/>
          <w:sz w:val="22"/>
          <w:szCs w:val="22"/>
        </w:rPr>
        <w:footnoteRef/>
      </w:r>
      <w:r w:rsidRPr="00FE6FF4">
        <w:rPr>
          <w:sz w:val="22"/>
          <w:szCs w:val="22"/>
          <w:lang w:val="en-US"/>
        </w:rPr>
        <w:t xml:space="preserve"> </w:t>
      </w:r>
      <w:proofErr w:type="spellStart"/>
      <w:r w:rsidRPr="00FE6FF4">
        <w:rPr>
          <w:sz w:val="22"/>
          <w:szCs w:val="22"/>
          <w:lang w:val="en-US"/>
        </w:rPr>
        <w:t>Boumphrey</w:t>
      </w:r>
      <w:proofErr w:type="spellEnd"/>
      <w:r w:rsidRPr="00FE6FF4">
        <w:rPr>
          <w:sz w:val="22"/>
          <w:szCs w:val="22"/>
          <w:lang w:val="en-US"/>
        </w:rPr>
        <w:t xml:space="preserve"> S., </w:t>
      </w:r>
      <w:proofErr w:type="spellStart"/>
      <w:r w:rsidRPr="00FE6FF4">
        <w:rPr>
          <w:sz w:val="22"/>
          <w:szCs w:val="22"/>
          <w:lang w:val="en-US"/>
        </w:rPr>
        <w:t>Brehmer</w:t>
      </w:r>
      <w:proofErr w:type="spellEnd"/>
      <w:r w:rsidRPr="00FE6FF4">
        <w:rPr>
          <w:sz w:val="22"/>
          <w:szCs w:val="22"/>
          <w:lang w:val="en-US"/>
        </w:rPr>
        <w:t xml:space="preserve"> Z., </w:t>
      </w:r>
      <w:r w:rsidRPr="00FE6FF4">
        <w:rPr>
          <w:i/>
          <w:sz w:val="22"/>
          <w:szCs w:val="22"/>
          <w:lang w:val="en-US"/>
        </w:rPr>
        <w:t>Megatrend Analysis Putting the Consumer at the Heart of Business</w:t>
      </w:r>
      <w:r w:rsidRPr="00FE6FF4">
        <w:rPr>
          <w:sz w:val="22"/>
          <w:szCs w:val="22"/>
          <w:lang w:val="en-US"/>
        </w:rPr>
        <w:t xml:space="preserve">, </w:t>
      </w:r>
      <w:hyperlink r:id="rId2" w:history="1">
        <w:r w:rsidRPr="00FE6FF4">
          <w:rPr>
            <w:rStyle w:val="Hipercze"/>
            <w:sz w:val="22"/>
            <w:szCs w:val="22"/>
            <w:lang w:val="en-US"/>
          </w:rPr>
          <w:t>http://go.euromonitor.com/rs/805-KOK-719/images/wpMegatrendAnalysis.pdf</w:t>
        </w:r>
      </w:hyperlink>
      <w:r w:rsidRPr="00FE6FF4">
        <w:rPr>
          <w:rFonts w:cstheme="minorHAnsi"/>
          <w:sz w:val="22"/>
          <w:szCs w:val="22"/>
          <w:lang w:val="en-US"/>
        </w:rPr>
        <w:t>.</w:t>
      </w:r>
    </w:p>
  </w:footnote>
  <w:footnote w:id="5">
    <w:p w14:paraId="7D6B77C9" w14:textId="77777777" w:rsidR="00BE74D0" w:rsidRDefault="00BE74D0" w:rsidP="00BE74D0">
      <w:pPr>
        <w:pStyle w:val="Tekstprzypisudolnego"/>
      </w:pPr>
      <w:r>
        <w:rPr>
          <w:rStyle w:val="Odwoanieprzypisudolnego"/>
        </w:rPr>
        <w:footnoteRef/>
      </w:r>
      <w:r>
        <w:t xml:space="preserve"> Zmiany te niewątpliwie przyspieszyły z uwagi na zwiększoną dynamikę zmian w okresie pandemii wywołanej wirusem Covid-19.</w:t>
      </w:r>
    </w:p>
  </w:footnote>
  <w:footnote w:id="6">
    <w:p w14:paraId="1EDF6384" w14:textId="77777777" w:rsidR="00BE74D0" w:rsidRPr="00B975D1" w:rsidRDefault="00BE74D0" w:rsidP="00BE74D0">
      <w:pPr>
        <w:pStyle w:val="Tekstprzypisudolnego"/>
        <w:jc w:val="both"/>
        <w:rPr>
          <w:sz w:val="22"/>
          <w:szCs w:val="22"/>
        </w:rPr>
      </w:pPr>
      <w:r w:rsidRPr="00B975D1">
        <w:rPr>
          <w:rStyle w:val="Odwoanieprzypisudolnego"/>
          <w:sz w:val="22"/>
          <w:szCs w:val="22"/>
        </w:rPr>
        <w:footnoteRef/>
      </w:r>
      <w:r w:rsidRPr="00B975D1">
        <w:rPr>
          <w:sz w:val="22"/>
          <w:szCs w:val="22"/>
        </w:rPr>
        <w:t xml:space="preserve"> </w:t>
      </w:r>
      <w:hyperlink r:id="rId3" w:history="1">
        <w:r w:rsidRPr="00C12362">
          <w:rPr>
            <w:rStyle w:val="Hipercze"/>
            <w:sz w:val="22"/>
            <w:szCs w:val="22"/>
          </w:rPr>
          <w:t>https://www2.deloitte.com/pl/pl/pages/press-releases/articles/megatrendy-ekonomiczne-2018.html</w:t>
        </w:r>
      </w:hyperlink>
      <w:r>
        <w:rPr>
          <w:sz w:val="22"/>
          <w:szCs w:val="22"/>
        </w:rPr>
        <w:t>.</w:t>
      </w:r>
    </w:p>
  </w:footnote>
  <w:footnote w:id="7">
    <w:p w14:paraId="7AF97E6A" w14:textId="77777777" w:rsidR="00BE74D0" w:rsidRPr="00FE6FF4" w:rsidRDefault="00BE74D0" w:rsidP="00BE74D0">
      <w:pPr>
        <w:pStyle w:val="Tekstprzypisudolnego"/>
        <w:jc w:val="both"/>
        <w:rPr>
          <w:rFonts w:cstheme="minorHAnsi"/>
          <w:sz w:val="22"/>
          <w:szCs w:val="22"/>
          <w:lang w:val="en-US"/>
        </w:rPr>
      </w:pPr>
      <w:r w:rsidRPr="00B975D1">
        <w:rPr>
          <w:rStyle w:val="Odwoanieprzypisudolnego"/>
          <w:rFonts w:cstheme="minorHAnsi"/>
          <w:sz w:val="22"/>
          <w:szCs w:val="22"/>
        </w:rPr>
        <w:footnoteRef/>
      </w:r>
      <w:r w:rsidRPr="00FE6FF4">
        <w:rPr>
          <w:rFonts w:cstheme="minorHAnsi"/>
          <w:sz w:val="22"/>
          <w:szCs w:val="22"/>
          <w:lang w:val="en-US"/>
        </w:rPr>
        <w:t xml:space="preserve"> </w:t>
      </w:r>
      <w:proofErr w:type="spellStart"/>
      <w:r w:rsidRPr="00FE6FF4">
        <w:rPr>
          <w:rFonts w:cstheme="minorHAnsi"/>
          <w:sz w:val="22"/>
          <w:szCs w:val="22"/>
          <w:lang w:val="en-US"/>
        </w:rPr>
        <w:t>Frezzo</w:t>
      </w:r>
      <w:proofErr w:type="spellEnd"/>
      <w:r w:rsidRPr="00FE6FF4">
        <w:rPr>
          <w:rFonts w:cstheme="minorHAnsi"/>
          <w:sz w:val="22"/>
          <w:szCs w:val="22"/>
          <w:lang w:val="en-US"/>
        </w:rPr>
        <w:t xml:space="preserve"> D., </w:t>
      </w:r>
      <w:r w:rsidRPr="00FE6FF4">
        <w:rPr>
          <w:rFonts w:cstheme="minorHAnsi"/>
          <w:i/>
          <w:sz w:val="22"/>
          <w:szCs w:val="22"/>
          <w:lang w:val="en-US"/>
        </w:rPr>
        <w:t>The role of …</w:t>
      </w:r>
      <w:r w:rsidRPr="00FE6FF4">
        <w:rPr>
          <w:rFonts w:cstheme="minorHAnsi"/>
          <w:sz w:val="22"/>
          <w:szCs w:val="22"/>
          <w:lang w:val="en-US"/>
        </w:rPr>
        <w:t>, op. cit.</w:t>
      </w:r>
    </w:p>
    <w:p w14:paraId="5073A2F1" w14:textId="77777777" w:rsidR="00BE74D0" w:rsidRPr="00FE6FF4" w:rsidRDefault="00BE74D0" w:rsidP="00BE74D0">
      <w:pPr>
        <w:pStyle w:val="Tekstprzypisudolnego"/>
        <w:jc w:val="both"/>
        <w:rPr>
          <w:sz w:val="22"/>
          <w:szCs w:val="2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5A3C56"/>
    <w:multiLevelType w:val="hybridMultilevel"/>
    <w:tmpl w:val="F404FA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C0B0C91"/>
    <w:multiLevelType w:val="hybridMultilevel"/>
    <w:tmpl w:val="A7063ECC"/>
    <w:lvl w:ilvl="0" w:tplc="E5E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7444317">
    <w:abstractNumId w:val="3"/>
  </w:num>
  <w:num w:numId="2" w16cid:durableId="1188373271">
    <w:abstractNumId w:val="4"/>
  </w:num>
  <w:num w:numId="3" w16cid:durableId="534125275">
    <w:abstractNumId w:val="5"/>
  </w:num>
  <w:num w:numId="4" w16cid:durableId="851649711">
    <w:abstractNumId w:val="1"/>
  </w:num>
  <w:num w:numId="5" w16cid:durableId="1398550661">
    <w:abstractNumId w:val="2"/>
  </w:num>
  <w:num w:numId="6" w16cid:durableId="1917400075">
    <w:abstractNumId w:val="0"/>
  </w:num>
  <w:num w:numId="7" w16cid:durableId="1338654270">
    <w:abstractNumId w:val="7"/>
  </w:num>
  <w:num w:numId="8" w16cid:durableId="971788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C"/>
    <w:rsid w:val="000933F1"/>
    <w:rsid w:val="000A7B16"/>
    <w:rsid w:val="000B2FD5"/>
    <w:rsid w:val="000B39F4"/>
    <w:rsid w:val="000D42AD"/>
    <w:rsid w:val="00106848"/>
    <w:rsid w:val="00140511"/>
    <w:rsid w:val="00156875"/>
    <w:rsid w:val="001770AF"/>
    <w:rsid w:val="001A4FB5"/>
    <w:rsid w:val="001B3CC1"/>
    <w:rsid w:val="001D6CFC"/>
    <w:rsid w:val="001F79F6"/>
    <w:rsid w:val="00214BF7"/>
    <w:rsid w:val="00265A1F"/>
    <w:rsid w:val="0029287D"/>
    <w:rsid w:val="002948DE"/>
    <w:rsid w:val="002D1907"/>
    <w:rsid w:val="002F4138"/>
    <w:rsid w:val="00312CBC"/>
    <w:rsid w:val="003139BB"/>
    <w:rsid w:val="003661FD"/>
    <w:rsid w:val="00367CB8"/>
    <w:rsid w:val="00370AD8"/>
    <w:rsid w:val="00387249"/>
    <w:rsid w:val="003A08FC"/>
    <w:rsid w:val="003C0DB2"/>
    <w:rsid w:val="003C120B"/>
    <w:rsid w:val="003C6274"/>
    <w:rsid w:val="00400DCA"/>
    <w:rsid w:val="00423C50"/>
    <w:rsid w:val="00443DB2"/>
    <w:rsid w:val="00467D45"/>
    <w:rsid w:val="00483987"/>
    <w:rsid w:val="004A0937"/>
    <w:rsid w:val="004A2122"/>
    <w:rsid w:val="004D1C7F"/>
    <w:rsid w:val="004E0ED8"/>
    <w:rsid w:val="004E4BCF"/>
    <w:rsid w:val="005203E3"/>
    <w:rsid w:val="005271E2"/>
    <w:rsid w:val="00542CB0"/>
    <w:rsid w:val="005951C7"/>
    <w:rsid w:val="005B0EF6"/>
    <w:rsid w:val="005C6883"/>
    <w:rsid w:val="005D6E09"/>
    <w:rsid w:val="005E48D4"/>
    <w:rsid w:val="005E748D"/>
    <w:rsid w:val="00625A7B"/>
    <w:rsid w:val="0067156A"/>
    <w:rsid w:val="006C4B42"/>
    <w:rsid w:val="006D02A0"/>
    <w:rsid w:val="0079425D"/>
    <w:rsid w:val="007B0295"/>
    <w:rsid w:val="007F0F18"/>
    <w:rsid w:val="00896591"/>
    <w:rsid w:val="008A0C3E"/>
    <w:rsid w:val="008A7028"/>
    <w:rsid w:val="008D7DD3"/>
    <w:rsid w:val="008E749A"/>
    <w:rsid w:val="00921969"/>
    <w:rsid w:val="00930C3A"/>
    <w:rsid w:val="00983DC9"/>
    <w:rsid w:val="0099331F"/>
    <w:rsid w:val="009D79DB"/>
    <w:rsid w:val="009F2106"/>
    <w:rsid w:val="00A3014A"/>
    <w:rsid w:val="00A53FC0"/>
    <w:rsid w:val="00AB2A93"/>
    <w:rsid w:val="00AD25B4"/>
    <w:rsid w:val="00AD750A"/>
    <w:rsid w:val="00AD791B"/>
    <w:rsid w:val="00AE12DC"/>
    <w:rsid w:val="00AE321A"/>
    <w:rsid w:val="00AE7A22"/>
    <w:rsid w:val="00AF1184"/>
    <w:rsid w:val="00AF5267"/>
    <w:rsid w:val="00B147F6"/>
    <w:rsid w:val="00B74CC4"/>
    <w:rsid w:val="00B976D9"/>
    <w:rsid w:val="00BC0A8E"/>
    <w:rsid w:val="00BE74D0"/>
    <w:rsid w:val="00C15AEE"/>
    <w:rsid w:val="00C310C0"/>
    <w:rsid w:val="00C34863"/>
    <w:rsid w:val="00C946D0"/>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BE74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text">
    <w:name w:val="reference-text"/>
    <w:basedOn w:val="Domylnaczcionkaakapitu"/>
    <w:rsid w:val="00BE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euromonitor.com/rs/805-KOK-719/images/wpMegatrendAnalysi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2.deloitte.com/pl/pl/pages/press-releases/articles/megatrendy-ekonomiczne-2018.html" TargetMode="External"/><Relationship Id="rId4" Type="http://schemas.openxmlformats.org/officeDocument/2006/relationships/settings" Target="settings.xml"/><Relationship Id="rId9" Type="http://schemas.openxmlformats.org/officeDocument/2006/relationships/hyperlink" Target="https://www.weforum.org/agenda/2017/05/science-of-lear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2.deloitte.com/pl/pl/pages/press-releases/articles/megatrendy-ekonomiczne-2018.html" TargetMode="External"/><Relationship Id="rId2" Type="http://schemas.openxmlformats.org/officeDocument/2006/relationships/hyperlink" Target="http://go.euromonitor.com/rs/805-KOK-719/images/wpMegatrendAnalysis.pdf" TargetMode="External"/><Relationship Id="rId1" Type="http://schemas.openxmlformats.org/officeDocument/2006/relationships/hyperlink" Target="https://www.weforum.org/agenda/2017/05/science-of-learni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1035</Words>
  <Characters>6212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Dariusz Danilewicz</cp:lastModifiedBy>
  <cp:revision>2</cp:revision>
  <dcterms:created xsi:type="dcterms:W3CDTF">2022-06-14T09:39:00Z</dcterms:created>
  <dcterms:modified xsi:type="dcterms:W3CDTF">2022-06-14T09:39:00Z</dcterms:modified>
</cp:coreProperties>
</file>