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0078A4DE" w:rsidR="001D6CFC" w:rsidRPr="00BE74D0" w:rsidRDefault="002F4138">
      <w:pPr>
        <w:rPr>
          <w:rFonts w:ascii="Times New Roman" w:hAnsi="Times New Roman" w:cs="Times New Roman"/>
        </w:rPr>
      </w:pPr>
      <w:r w:rsidRPr="00BE74D0">
        <w:rPr>
          <w:rFonts w:ascii="Times New Roman" w:hAnsi="Times New Roman" w:cs="Times New Roman"/>
        </w:rPr>
        <w:t xml:space="preserve">Dr </w:t>
      </w:r>
      <w:r w:rsidR="00BE74D0" w:rsidRPr="00BE74D0">
        <w:rPr>
          <w:rFonts w:ascii="Times New Roman" w:hAnsi="Times New Roman" w:cs="Times New Roman"/>
        </w:rPr>
        <w:t>Dariusz Danilewicz</w:t>
      </w:r>
      <w:r w:rsidR="003A08FC" w:rsidRPr="00BE74D0">
        <w:rPr>
          <w:rFonts w:ascii="Times New Roman" w:hAnsi="Times New Roman" w:cs="Times New Roman"/>
        </w:rPr>
        <w:tab/>
      </w:r>
      <w:r w:rsidR="003A08FC" w:rsidRPr="00BE74D0">
        <w:rPr>
          <w:rFonts w:ascii="Times New Roman" w:hAnsi="Times New Roman" w:cs="Times New Roman"/>
        </w:rPr>
        <w:tab/>
      </w:r>
      <w:r w:rsidR="003A08FC" w:rsidRPr="00BE74D0">
        <w:rPr>
          <w:rFonts w:ascii="Times New Roman" w:hAnsi="Times New Roman" w:cs="Times New Roman"/>
        </w:rPr>
        <w:tab/>
      </w:r>
      <w:r w:rsidR="003A08FC" w:rsidRPr="00BE74D0">
        <w:rPr>
          <w:rFonts w:ascii="Times New Roman" w:hAnsi="Times New Roman" w:cs="Times New Roman"/>
        </w:rPr>
        <w:tab/>
      </w:r>
      <w:r w:rsidR="003A08FC" w:rsidRPr="00BE74D0">
        <w:rPr>
          <w:rFonts w:ascii="Times New Roman" w:hAnsi="Times New Roman" w:cs="Times New Roman"/>
        </w:rPr>
        <w:tab/>
      </w:r>
    </w:p>
    <w:p w14:paraId="51D9941D" w14:textId="5746BBB0" w:rsidR="001D6CFC" w:rsidRPr="00BE74D0" w:rsidRDefault="002F4138">
      <w:pPr>
        <w:rPr>
          <w:rFonts w:ascii="Times New Roman" w:hAnsi="Times New Roman" w:cs="Times New Roman"/>
        </w:rPr>
      </w:pPr>
      <w:r w:rsidRPr="00BE74D0">
        <w:rPr>
          <w:rFonts w:ascii="Times New Roman" w:hAnsi="Times New Roman" w:cs="Times New Roman"/>
        </w:rPr>
        <w:t>Szkoła Główna Handlowa w Warszawie</w:t>
      </w:r>
    </w:p>
    <w:p w14:paraId="097FB266" w14:textId="02EB9AC5" w:rsidR="001D6CFC" w:rsidRPr="00BE74D0" w:rsidRDefault="001D6CFC">
      <w:pPr>
        <w:rPr>
          <w:rFonts w:ascii="Times New Roman" w:hAnsi="Times New Roman" w:cs="Times New Roman"/>
        </w:rPr>
      </w:pPr>
    </w:p>
    <w:p w14:paraId="239D3562" w14:textId="4C873462" w:rsidR="001D6CFC" w:rsidRPr="00BE74D0" w:rsidRDefault="00310B26" w:rsidP="00252E35">
      <w:pPr>
        <w:pStyle w:val="doc-ti"/>
        <w:spacing w:line="360" w:lineRule="auto"/>
        <w:jc w:val="center"/>
        <w:rPr>
          <w:b/>
        </w:rPr>
      </w:pPr>
      <w:r>
        <w:rPr>
          <w:b/>
        </w:rPr>
        <w:t xml:space="preserve">Przedsiębiorcza szkoła – przedsiębiorczy absolwent </w:t>
      </w:r>
      <w:r w:rsidR="003A08FC" w:rsidRPr="00BE74D0">
        <w:rPr>
          <w:rStyle w:val="Odwoanieprzypisudolnego"/>
          <w:b/>
          <w:bCs/>
          <w:color w:val="000000" w:themeColor="text1"/>
        </w:rPr>
        <w:footnoteReference w:id="1"/>
      </w:r>
    </w:p>
    <w:p w14:paraId="5D1B579B" w14:textId="7CFCC28D" w:rsidR="001D6CFC" w:rsidRPr="00BE74D0" w:rsidRDefault="001D6CFC" w:rsidP="001D6CFC">
      <w:pPr>
        <w:jc w:val="center"/>
        <w:rPr>
          <w:rFonts w:ascii="Times New Roman" w:hAnsi="Times New Roman" w:cs="Times New Roman"/>
          <w:b/>
          <w:bCs/>
        </w:rPr>
      </w:pPr>
    </w:p>
    <w:p w14:paraId="0DEE64F0" w14:textId="0381A097" w:rsidR="00E37B04" w:rsidRDefault="001D6CFC" w:rsidP="00F72B64">
      <w:pPr>
        <w:spacing w:line="240" w:lineRule="auto"/>
        <w:jc w:val="both"/>
        <w:rPr>
          <w:rFonts w:ascii="Times New Roman" w:hAnsi="Times New Roman" w:cs="Times New Roman"/>
          <w:sz w:val="20"/>
          <w:szCs w:val="20"/>
        </w:rPr>
      </w:pPr>
      <w:r w:rsidRPr="00BE74D0">
        <w:rPr>
          <w:rFonts w:ascii="Times New Roman" w:hAnsi="Times New Roman" w:cs="Times New Roman"/>
          <w:sz w:val="20"/>
          <w:szCs w:val="20"/>
        </w:rPr>
        <w:t xml:space="preserve">Streszczenie: </w:t>
      </w:r>
      <w:r w:rsidR="001549EC">
        <w:rPr>
          <w:rFonts w:ascii="Times New Roman" w:hAnsi="Times New Roman" w:cs="Times New Roman"/>
          <w:sz w:val="20"/>
          <w:szCs w:val="20"/>
        </w:rPr>
        <w:t>W artykule przedstawiono założenia szkoły przedsiębiorczej, która może kreować uczniów (i absolwentów) mających cechy osób przedsiębiorczych</w:t>
      </w:r>
      <w:r w:rsidR="003F0FC1">
        <w:rPr>
          <w:rFonts w:ascii="Times New Roman" w:hAnsi="Times New Roman" w:cs="Times New Roman"/>
          <w:sz w:val="20"/>
          <w:szCs w:val="20"/>
        </w:rPr>
        <w:t>.</w:t>
      </w:r>
    </w:p>
    <w:p w14:paraId="272F1C0E" w14:textId="77777777" w:rsidR="00AB2A93" w:rsidRPr="00310B26" w:rsidRDefault="00AB2A93" w:rsidP="00F72B64">
      <w:pPr>
        <w:spacing w:line="240" w:lineRule="auto"/>
        <w:jc w:val="both"/>
        <w:rPr>
          <w:rFonts w:ascii="Times New Roman" w:hAnsi="Times New Roman" w:cs="Times New Roman"/>
          <w:sz w:val="24"/>
          <w:szCs w:val="24"/>
        </w:rPr>
      </w:pPr>
    </w:p>
    <w:p w14:paraId="1E6B81F6" w14:textId="50733B5E" w:rsidR="0099331F" w:rsidRPr="00310B26" w:rsidRDefault="00BE74D0" w:rsidP="0099331F">
      <w:pPr>
        <w:pStyle w:val="Nagwek2"/>
        <w:spacing w:line="360" w:lineRule="auto"/>
        <w:rPr>
          <w:rFonts w:ascii="Times New Roman" w:hAnsi="Times New Roman" w:cs="Times New Roman"/>
          <w:b/>
          <w:bCs/>
          <w:color w:val="000000" w:themeColor="text1"/>
          <w:sz w:val="24"/>
          <w:szCs w:val="24"/>
        </w:rPr>
      </w:pPr>
      <w:r w:rsidRPr="00310B26">
        <w:rPr>
          <w:rFonts w:ascii="Times New Roman" w:hAnsi="Times New Roman" w:cs="Times New Roman"/>
          <w:b/>
          <w:bCs/>
          <w:color w:val="000000" w:themeColor="text1"/>
          <w:sz w:val="24"/>
          <w:szCs w:val="24"/>
        </w:rPr>
        <w:t>Wstęp</w:t>
      </w:r>
    </w:p>
    <w:p w14:paraId="45D8DF5E" w14:textId="77777777" w:rsidR="00464781" w:rsidRPr="00310B26" w:rsidRDefault="00464781" w:rsidP="00464781">
      <w:pPr>
        <w:pStyle w:val="doc-ti"/>
        <w:spacing w:line="360" w:lineRule="auto"/>
        <w:jc w:val="both"/>
      </w:pPr>
      <w:r w:rsidRPr="00310B26">
        <w:t>Prowadzone regularne badania „Pierwsze kroki na rynku pracy”</w:t>
      </w:r>
      <w:r w:rsidRPr="00310B26">
        <w:rPr>
          <w:rStyle w:val="Odwoanieprzypisudolnego"/>
        </w:rPr>
        <w:footnoteReference w:id="2"/>
      </w:r>
      <w:r w:rsidRPr="00310B26">
        <w:t xml:space="preserve"> pokazują, ze najmłodsze pokolenie wchodzące na rynek pracy zaczyna się zmieniać. Do kluczowych wniosków powyższych analiz należy zaliczyć</w:t>
      </w:r>
      <w:r w:rsidRPr="00310B26">
        <w:rPr>
          <w:rStyle w:val="Odwoanieprzypisudolnego"/>
        </w:rPr>
        <w:footnoteReference w:id="3"/>
      </w:r>
      <w:r w:rsidRPr="00310B26">
        <w:t>:</w:t>
      </w:r>
    </w:p>
    <w:p w14:paraId="2BFE01E6" w14:textId="77777777" w:rsidR="00464781" w:rsidRPr="00310B26" w:rsidRDefault="00464781" w:rsidP="00464781">
      <w:pPr>
        <w:pStyle w:val="doc-ti"/>
        <w:numPr>
          <w:ilvl w:val="0"/>
          <w:numId w:val="7"/>
        </w:numPr>
        <w:spacing w:line="360" w:lineRule="auto"/>
        <w:jc w:val="both"/>
      </w:pPr>
      <w:r w:rsidRPr="00310B26">
        <w:t>ponad połowa polskich studentów i absolwentów w przyszłości chciałaby pracować dla kogoś, a co ósmy planuje prowadzić własną działalność biznesową,</w:t>
      </w:r>
    </w:p>
    <w:p w14:paraId="4A9BABD9" w14:textId="77777777" w:rsidR="00464781" w:rsidRPr="00310B26" w:rsidRDefault="00464781" w:rsidP="00464781">
      <w:pPr>
        <w:pStyle w:val="doc-ti"/>
        <w:numPr>
          <w:ilvl w:val="0"/>
          <w:numId w:val="7"/>
        </w:numPr>
        <w:spacing w:line="360" w:lineRule="auto"/>
        <w:jc w:val="both"/>
      </w:pPr>
      <w:r w:rsidRPr="00310B26">
        <w:t>zwiększa się liczba młodych osób, które nie mają sprecyzowanych planów na przyszłość,</w:t>
      </w:r>
    </w:p>
    <w:p w14:paraId="511C6EC2" w14:textId="77777777" w:rsidR="00464781" w:rsidRPr="00310B26" w:rsidRDefault="00464781" w:rsidP="00464781">
      <w:pPr>
        <w:pStyle w:val="doc-ti"/>
        <w:numPr>
          <w:ilvl w:val="0"/>
          <w:numId w:val="7"/>
        </w:numPr>
        <w:spacing w:line="360" w:lineRule="auto"/>
        <w:jc w:val="both"/>
      </w:pPr>
      <w:r w:rsidRPr="00310B26">
        <w:t>młodzież coraz krytyczniej podchodzi do swoich kompetencji, a jako słabe strony postrzegają brak umiejętności przywódczych oraz delegowania zadań i zarządzania pracą innych,</w:t>
      </w:r>
    </w:p>
    <w:p w14:paraId="4AD1FAE4" w14:textId="77777777" w:rsidR="00464781" w:rsidRPr="00310B26" w:rsidRDefault="00464781" w:rsidP="00464781">
      <w:pPr>
        <w:pStyle w:val="doc-ti"/>
        <w:numPr>
          <w:ilvl w:val="0"/>
          <w:numId w:val="7"/>
        </w:numPr>
        <w:spacing w:line="360" w:lineRule="auto"/>
        <w:jc w:val="both"/>
      </w:pPr>
      <w:r w:rsidRPr="00310B26">
        <w:t>sześciu na dziesięciu badanych widzi siebie w przyszłości w roli eksperta, spada natomiast odsetek tych, którzy chcą być menedżerami.</w:t>
      </w:r>
    </w:p>
    <w:p w14:paraId="3EA8794F" w14:textId="76D99114" w:rsidR="00310B26" w:rsidRPr="00310B26" w:rsidRDefault="00464781" w:rsidP="00310B26">
      <w:pPr>
        <w:pStyle w:val="doc-ti"/>
        <w:spacing w:line="360" w:lineRule="auto"/>
        <w:jc w:val="both"/>
      </w:pPr>
      <w:r>
        <w:t>Pokazuje to konieczność wzmocnienia rolę edukacji ekonomicznej, w tym edukacji w zakresie przedsiębiorczości</w:t>
      </w:r>
      <w:r w:rsidR="00BA1E33">
        <w:t xml:space="preserve"> w polskich szkołach</w:t>
      </w:r>
      <w:r>
        <w:t>,  która</w:t>
      </w:r>
      <w:r w:rsidR="00BA1E33">
        <w:t xml:space="preserve"> będzie kreować absolwentów mających postawę przedsiębiorczą.</w:t>
      </w:r>
    </w:p>
    <w:p w14:paraId="3BED2535" w14:textId="2971D559" w:rsidR="00310B26" w:rsidRPr="00310B26" w:rsidRDefault="00310B26" w:rsidP="00310B26">
      <w:pPr>
        <w:pStyle w:val="Nagwek2"/>
        <w:spacing w:line="360" w:lineRule="auto"/>
        <w:rPr>
          <w:rFonts w:ascii="Times New Roman" w:hAnsi="Times New Roman" w:cs="Times New Roman"/>
          <w:b/>
          <w:bCs/>
          <w:color w:val="000000" w:themeColor="text1"/>
          <w:sz w:val="24"/>
          <w:szCs w:val="24"/>
        </w:rPr>
      </w:pPr>
      <w:r w:rsidRPr="00310B26">
        <w:rPr>
          <w:rFonts w:ascii="Times New Roman" w:hAnsi="Times New Roman" w:cs="Times New Roman"/>
          <w:b/>
          <w:bCs/>
          <w:color w:val="000000" w:themeColor="text1"/>
          <w:sz w:val="24"/>
          <w:szCs w:val="24"/>
        </w:rPr>
        <w:lastRenderedPageBreak/>
        <w:t>W kierunku przedsiębiorczej szkoły</w:t>
      </w:r>
    </w:p>
    <w:p w14:paraId="5F69D308" w14:textId="3A21BB5D" w:rsidR="00310B26" w:rsidRPr="00310B26" w:rsidRDefault="00310B26" w:rsidP="00310B26">
      <w:pPr>
        <w:pStyle w:val="doc-ti"/>
        <w:spacing w:line="360" w:lineRule="auto"/>
        <w:jc w:val="both"/>
      </w:pPr>
      <w:r w:rsidRPr="00310B26">
        <w:t xml:space="preserve">Zdaniem autora należy zwrócić uwagę na to, że nauczyciele zajmujący się edukacją </w:t>
      </w:r>
      <w:r w:rsidR="00464781">
        <w:t>przedsiębiorczości</w:t>
      </w:r>
      <w:r w:rsidRPr="00310B26">
        <w:t xml:space="preserve"> nie mogą zostać pozostawieni sami sobie. Z uwagi na to, że zwykle pracują w instytucji publicznej (jaką jest szkoła), poza gospodarką wolnorynkową, nie są w stanie bez wsparcia z zewnątrz prowadzić działań z zakresu edukacji ekonomicznej w sposób nowoczesny i wyprzedzający zjawiska obecnie występujące w gospodarce, nastawiony na kształtowanie kompetencji młodzieży, która za kilka, czy kilkanaście lat wejdzie na rynek pracy. Nauczyciele muszą współpracować z pracodawcami i innymi interesariuszami zewnętrznymi mającymi wpływ na wygląd przyszłego świata gospodarczego. </w:t>
      </w:r>
    </w:p>
    <w:p w14:paraId="79D1D41C" w14:textId="77777777" w:rsidR="00310B26" w:rsidRPr="00310B26" w:rsidRDefault="00310B26" w:rsidP="00310B26">
      <w:pPr>
        <w:spacing w:line="360" w:lineRule="auto"/>
        <w:jc w:val="both"/>
        <w:rPr>
          <w:rFonts w:ascii="Times New Roman" w:hAnsi="Times New Roman" w:cs="Times New Roman"/>
          <w:sz w:val="24"/>
          <w:szCs w:val="24"/>
        </w:rPr>
      </w:pPr>
      <w:r w:rsidRPr="00310B26">
        <w:rPr>
          <w:rFonts w:ascii="Times New Roman" w:hAnsi="Times New Roman" w:cs="Times New Roman"/>
          <w:sz w:val="24"/>
          <w:szCs w:val="24"/>
        </w:rPr>
        <w:t>Od ponad dekady pisze się w naszym kraju o uniwersytetach przedsiębiorczych</w:t>
      </w:r>
      <w:r w:rsidRPr="00310B26">
        <w:rPr>
          <w:rStyle w:val="Odwoanieprzypisudolnego"/>
          <w:rFonts w:ascii="Times New Roman" w:hAnsi="Times New Roman" w:cs="Times New Roman"/>
          <w:sz w:val="24"/>
          <w:szCs w:val="24"/>
        </w:rPr>
        <w:footnoteReference w:id="4"/>
      </w:r>
      <w:r w:rsidRPr="00310B26">
        <w:rPr>
          <w:rFonts w:ascii="Times New Roman" w:hAnsi="Times New Roman" w:cs="Times New Roman"/>
          <w:sz w:val="24"/>
          <w:szCs w:val="24"/>
        </w:rPr>
        <w:t>, warto więc też zacząć promować szerzej ideę szkół przedsiębiorczych. Kluczowe w tym obszarze powinno być pięć fundamentalnych założeń mających kształtować szkołę w kierunku szkoły przedsiębiorczej:</w:t>
      </w:r>
    </w:p>
    <w:p w14:paraId="01C34032" w14:textId="77777777" w:rsidR="00310B26" w:rsidRPr="00310B26" w:rsidRDefault="00310B26" w:rsidP="00310B26">
      <w:pPr>
        <w:pStyle w:val="doc-ti"/>
        <w:numPr>
          <w:ilvl w:val="0"/>
          <w:numId w:val="7"/>
        </w:numPr>
        <w:spacing w:line="360" w:lineRule="auto"/>
        <w:jc w:val="both"/>
      </w:pPr>
      <w:r w:rsidRPr="00310B26">
        <w:t>wzmocnienie „centrum sterującego” szkoły – nowoczesna szkoła ma poszukiwać okazji do doskonalenia w dobie permanentnej zmiany, a niezbędni są ku temu liderzy – dyrektorzy szkół otwarci na zmiany, potrafiący zarządzać zmianami, gotowi do ewolucji form organizacyjnych szkół, programów nauczania itd.,</w:t>
      </w:r>
    </w:p>
    <w:p w14:paraId="3A8261C1" w14:textId="77777777" w:rsidR="00310B26" w:rsidRPr="00310B26" w:rsidRDefault="00310B26" w:rsidP="00310B26">
      <w:pPr>
        <w:pStyle w:val="doc-ti"/>
        <w:numPr>
          <w:ilvl w:val="0"/>
          <w:numId w:val="7"/>
        </w:numPr>
        <w:spacing w:line="360" w:lineRule="auto"/>
        <w:jc w:val="both"/>
      </w:pPr>
      <w:r w:rsidRPr="00310B26">
        <w:t>rozwój zakresu współpracy szkoły z otoczeniem (pracodawcami, organizacjami pozarządowymi, publicznymi instytucjami mogącymi współuczestniczyć w procesie kształcenia)</w:t>
      </w:r>
      <w:r w:rsidRPr="00310B26">
        <w:rPr>
          <w:rStyle w:val="Odwoanieprzypisudolnego"/>
        </w:rPr>
        <w:footnoteReference w:id="5"/>
      </w:r>
      <w:r w:rsidRPr="00310B26">
        <w:t>,</w:t>
      </w:r>
    </w:p>
    <w:p w14:paraId="36ED0DAC" w14:textId="77777777" w:rsidR="00310B26" w:rsidRPr="00310B26" w:rsidRDefault="00310B26" w:rsidP="00310B26">
      <w:pPr>
        <w:pStyle w:val="doc-ti"/>
        <w:numPr>
          <w:ilvl w:val="0"/>
          <w:numId w:val="7"/>
        </w:numPr>
        <w:spacing w:line="360" w:lineRule="auto"/>
        <w:jc w:val="both"/>
      </w:pPr>
      <w:r w:rsidRPr="00310B26">
        <w:lastRenderedPageBreak/>
        <w:t>kształtowanie nowej szkoły i stymulowanie jej rozwoju w kilku płaszczyznach: przestrzeni społecznej i kulturowej, przestrzeni fizycznej i architektonicznej, przestrzeni wirtualnej i technologicznej</w:t>
      </w:r>
      <w:r w:rsidRPr="00310B26">
        <w:rPr>
          <w:rStyle w:val="Odwoanieprzypisudolnego"/>
        </w:rPr>
        <w:footnoteReference w:id="6"/>
      </w:r>
      <w:r w:rsidRPr="00310B26">
        <w:t>,</w:t>
      </w:r>
    </w:p>
    <w:p w14:paraId="3F3240D2" w14:textId="77777777" w:rsidR="00310B26" w:rsidRPr="00310B26" w:rsidRDefault="00310B26" w:rsidP="00310B26">
      <w:pPr>
        <w:pStyle w:val="doc-ti"/>
        <w:numPr>
          <w:ilvl w:val="0"/>
          <w:numId w:val="7"/>
        </w:numPr>
        <w:spacing w:line="360" w:lineRule="auto"/>
        <w:jc w:val="both"/>
      </w:pPr>
      <w:r w:rsidRPr="00310B26">
        <w:t>budowanie zintegrowanej kultury przedsiębiorczości obejmującej wszystkich interesariuszy wewnątrz szkoły,</w:t>
      </w:r>
    </w:p>
    <w:p w14:paraId="05EDA11E" w14:textId="77777777" w:rsidR="00310B26" w:rsidRPr="00310B26" w:rsidRDefault="00310B26" w:rsidP="00310B26">
      <w:pPr>
        <w:pStyle w:val="doc-ti"/>
        <w:numPr>
          <w:ilvl w:val="0"/>
          <w:numId w:val="7"/>
        </w:numPr>
        <w:spacing w:line="360" w:lineRule="auto"/>
        <w:jc w:val="both"/>
      </w:pPr>
      <w:r w:rsidRPr="00310B26">
        <w:t>konieczność dywersyfikacji źródeł finansowania szkoły i zdobycie umiejętności pozyskiwania funduszy spoza budżetu (w tym od pracodawców, organizacji pozarządowych gotowych do wspierania działań edukacyjnych szkół, środków europejskich).</w:t>
      </w:r>
    </w:p>
    <w:p w14:paraId="084AB3CC" w14:textId="77777777" w:rsidR="00310B26" w:rsidRPr="00310B26" w:rsidRDefault="00310B26" w:rsidP="00310B26">
      <w:pPr>
        <w:pStyle w:val="doc-ti"/>
        <w:spacing w:line="360" w:lineRule="auto"/>
        <w:jc w:val="both"/>
      </w:pPr>
      <w:r w:rsidRPr="00310B26">
        <w:t>Szkoła przedsiębiorcza co do zasady będzie w stanie kształtować absolwentów, których będzie można określić jako osoby przedsiębiorcze.</w:t>
      </w:r>
    </w:p>
    <w:p w14:paraId="34E05FEB" w14:textId="6715F2E3" w:rsidR="00310B26" w:rsidRPr="00310B26" w:rsidRDefault="00310B26" w:rsidP="00310B26">
      <w:pPr>
        <w:pStyle w:val="Nagwek2"/>
        <w:spacing w:line="360" w:lineRule="auto"/>
        <w:rPr>
          <w:rFonts w:ascii="Times New Roman" w:hAnsi="Times New Roman" w:cs="Times New Roman"/>
          <w:b/>
          <w:bCs/>
          <w:color w:val="000000" w:themeColor="text1"/>
          <w:sz w:val="24"/>
          <w:szCs w:val="24"/>
        </w:rPr>
      </w:pPr>
      <w:r w:rsidRPr="00310B26">
        <w:rPr>
          <w:rFonts w:ascii="Times New Roman" w:hAnsi="Times New Roman" w:cs="Times New Roman"/>
          <w:b/>
          <w:bCs/>
          <w:color w:val="000000" w:themeColor="text1"/>
          <w:sz w:val="24"/>
          <w:szCs w:val="24"/>
        </w:rPr>
        <w:t>Elastyczność jako ważny element sukcesu</w:t>
      </w:r>
    </w:p>
    <w:p w14:paraId="1ECC86CD" w14:textId="77777777" w:rsidR="00310B26" w:rsidRPr="00310B26" w:rsidRDefault="00310B26" w:rsidP="00310B26">
      <w:pPr>
        <w:pStyle w:val="doc-ti"/>
        <w:spacing w:line="360" w:lineRule="auto"/>
        <w:jc w:val="both"/>
      </w:pPr>
      <w:r w:rsidRPr="00310B26">
        <w:t>Wiele typów organizacji we współczesnych warunkach musi opierać sens swojego istnienia na paradygmacie elastyczności. Wykorzystanie tej idei w systemie edukacji może wspomóc absolwentów szkół w wejściu na rynek pracy, bowiem wiele organizacji opiera swoje działania na poziomie strategii oraz w odniesieniu do zarządzania kapitałem ludzkim właśnie na podejściu elastycznym. Elastyczne zarządzanie kapitałem ludzkim staje się – jak pisze M. Juchnowicz</w:t>
      </w:r>
      <w:r w:rsidRPr="00310B26">
        <w:rPr>
          <w:rStyle w:val="Odwoanieprzypisudolnego"/>
        </w:rPr>
        <w:footnoteReference w:id="7"/>
      </w:r>
      <w:r w:rsidRPr="00310B26">
        <w:t xml:space="preserve"> – środkiem do innowacyjnych i kreatywnych zmian. Stanowi także nieodzowny warunek pożądanej sylwetki pracownika określonej jako </w:t>
      </w:r>
      <w:r w:rsidRPr="00310B26">
        <w:rPr>
          <w:i/>
        </w:rPr>
        <w:t xml:space="preserve">homo </w:t>
      </w:r>
      <w:proofErr w:type="spellStart"/>
      <w:r w:rsidRPr="00310B26">
        <w:rPr>
          <w:i/>
        </w:rPr>
        <w:t>creativus</w:t>
      </w:r>
      <w:proofErr w:type="spellEnd"/>
      <w:r w:rsidRPr="00310B26">
        <w:t>.</w:t>
      </w:r>
    </w:p>
    <w:p w14:paraId="275C2471" w14:textId="40E67EC8" w:rsidR="00310B26" w:rsidRPr="00310B26" w:rsidRDefault="00310B26" w:rsidP="00310B26">
      <w:pPr>
        <w:pStyle w:val="doc-ti"/>
        <w:spacing w:line="360" w:lineRule="auto"/>
        <w:jc w:val="both"/>
      </w:pPr>
      <w:r w:rsidRPr="00310B26">
        <w:t xml:space="preserve">Tabela </w:t>
      </w:r>
      <w:r w:rsidRPr="00310B26">
        <w:t>1</w:t>
      </w:r>
      <w:r w:rsidRPr="00310B26">
        <w:t>. Poziomy elastyczności organizacji</w:t>
      </w:r>
    </w:p>
    <w:tbl>
      <w:tblPr>
        <w:tblStyle w:val="Tabela-Siatka"/>
        <w:tblW w:w="0" w:type="auto"/>
        <w:tblLook w:val="04A0" w:firstRow="1" w:lastRow="0" w:firstColumn="1" w:lastColumn="0" w:noHBand="0" w:noVBand="1"/>
      </w:tblPr>
      <w:tblGrid>
        <w:gridCol w:w="2265"/>
        <w:gridCol w:w="2265"/>
        <w:gridCol w:w="2266"/>
        <w:gridCol w:w="2266"/>
      </w:tblGrid>
      <w:tr w:rsidR="00310B26" w:rsidRPr="00464781" w14:paraId="5EC505DF" w14:textId="77777777" w:rsidTr="00163AE9">
        <w:tc>
          <w:tcPr>
            <w:tcW w:w="2265" w:type="dxa"/>
          </w:tcPr>
          <w:p w14:paraId="14EEBED9" w14:textId="77777777" w:rsidR="00310B26" w:rsidRPr="00464781" w:rsidRDefault="00310B26" w:rsidP="00163AE9">
            <w:pPr>
              <w:pStyle w:val="doc-ti"/>
              <w:jc w:val="center"/>
              <w:rPr>
                <w:sz w:val="20"/>
                <w:szCs w:val="20"/>
              </w:rPr>
            </w:pPr>
            <w:r w:rsidRPr="00464781">
              <w:rPr>
                <w:sz w:val="20"/>
                <w:szCs w:val="20"/>
              </w:rPr>
              <w:t>Stopień elastyczności</w:t>
            </w:r>
          </w:p>
        </w:tc>
        <w:tc>
          <w:tcPr>
            <w:tcW w:w="2265" w:type="dxa"/>
          </w:tcPr>
          <w:p w14:paraId="261C3C5D" w14:textId="77777777" w:rsidR="00310B26" w:rsidRPr="00464781" w:rsidRDefault="00310B26" w:rsidP="00163AE9">
            <w:pPr>
              <w:pStyle w:val="doc-ti"/>
              <w:jc w:val="center"/>
              <w:rPr>
                <w:sz w:val="20"/>
                <w:szCs w:val="20"/>
              </w:rPr>
            </w:pPr>
            <w:r w:rsidRPr="00464781">
              <w:rPr>
                <w:sz w:val="20"/>
                <w:szCs w:val="20"/>
              </w:rPr>
              <w:t>Definicja lub krańcowa zmiana</w:t>
            </w:r>
          </w:p>
        </w:tc>
        <w:tc>
          <w:tcPr>
            <w:tcW w:w="2266" w:type="dxa"/>
          </w:tcPr>
          <w:p w14:paraId="244471BC" w14:textId="77777777" w:rsidR="00310B26" w:rsidRPr="00464781" w:rsidRDefault="00310B26" w:rsidP="00163AE9">
            <w:pPr>
              <w:pStyle w:val="doc-ti"/>
              <w:jc w:val="center"/>
              <w:rPr>
                <w:sz w:val="20"/>
                <w:szCs w:val="20"/>
              </w:rPr>
            </w:pPr>
            <w:r w:rsidRPr="00464781">
              <w:rPr>
                <w:sz w:val="20"/>
                <w:szCs w:val="20"/>
              </w:rPr>
              <w:t>Przykład ze świata biznesu</w:t>
            </w:r>
          </w:p>
        </w:tc>
        <w:tc>
          <w:tcPr>
            <w:tcW w:w="2266" w:type="dxa"/>
          </w:tcPr>
          <w:p w14:paraId="70CC0ABE" w14:textId="77777777" w:rsidR="00310B26" w:rsidRPr="00464781" w:rsidRDefault="00310B26" w:rsidP="00163AE9">
            <w:pPr>
              <w:pStyle w:val="doc-ti"/>
              <w:jc w:val="center"/>
              <w:rPr>
                <w:sz w:val="20"/>
                <w:szCs w:val="20"/>
              </w:rPr>
            </w:pPr>
            <w:r w:rsidRPr="00464781">
              <w:rPr>
                <w:sz w:val="20"/>
                <w:szCs w:val="20"/>
              </w:rPr>
              <w:t>Przykład ze świata szkoły</w:t>
            </w:r>
          </w:p>
        </w:tc>
      </w:tr>
      <w:tr w:rsidR="00310B26" w:rsidRPr="00464781" w14:paraId="08ACD3FA" w14:textId="77777777" w:rsidTr="00163AE9">
        <w:tc>
          <w:tcPr>
            <w:tcW w:w="2265" w:type="dxa"/>
          </w:tcPr>
          <w:p w14:paraId="477F16C0" w14:textId="77777777" w:rsidR="00310B26" w:rsidRPr="00464781" w:rsidRDefault="00310B26" w:rsidP="00163AE9">
            <w:pPr>
              <w:pStyle w:val="doc-ti"/>
              <w:rPr>
                <w:sz w:val="20"/>
                <w:szCs w:val="20"/>
              </w:rPr>
            </w:pPr>
            <w:r w:rsidRPr="00464781">
              <w:rPr>
                <w:sz w:val="20"/>
                <w:szCs w:val="20"/>
              </w:rPr>
              <w:t>Sztywny</w:t>
            </w:r>
          </w:p>
        </w:tc>
        <w:tc>
          <w:tcPr>
            <w:tcW w:w="2265" w:type="dxa"/>
          </w:tcPr>
          <w:p w14:paraId="71989C50" w14:textId="77777777" w:rsidR="00310B26" w:rsidRPr="00464781" w:rsidRDefault="00310B26" w:rsidP="00163AE9">
            <w:pPr>
              <w:pStyle w:val="doc-ti"/>
              <w:rPr>
                <w:sz w:val="20"/>
                <w:szCs w:val="20"/>
              </w:rPr>
            </w:pPr>
            <w:r w:rsidRPr="00464781">
              <w:rPr>
                <w:sz w:val="20"/>
                <w:szCs w:val="20"/>
              </w:rPr>
              <w:t>Stabilność i satysfakcja produktu, jak i rynku</w:t>
            </w:r>
          </w:p>
        </w:tc>
        <w:tc>
          <w:tcPr>
            <w:tcW w:w="2266" w:type="dxa"/>
          </w:tcPr>
          <w:p w14:paraId="06B19DBB" w14:textId="77777777" w:rsidR="00310B26" w:rsidRPr="00464781" w:rsidRDefault="00310B26" w:rsidP="00163AE9">
            <w:pPr>
              <w:pStyle w:val="doc-ti"/>
              <w:rPr>
                <w:sz w:val="20"/>
                <w:szCs w:val="20"/>
              </w:rPr>
            </w:pPr>
            <w:r w:rsidRPr="00464781">
              <w:rPr>
                <w:sz w:val="20"/>
                <w:szCs w:val="20"/>
              </w:rPr>
              <w:t xml:space="preserve">W zakładach Henry’ego </w:t>
            </w:r>
            <w:proofErr w:type="spellStart"/>
            <w:r w:rsidRPr="00464781">
              <w:rPr>
                <w:sz w:val="20"/>
                <w:szCs w:val="20"/>
              </w:rPr>
              <w:t>Forrda</w:t>
            </w:r>
            <w:proofErr w:type="spellEnd"/>
            <w:r w:rsidRPr="00464781">
              <w:rPr>
                <w:sz w:val="20"/>
                <w:szCs w:val="20"/>
              </w:rPr>
              <w:t xml:space="preserve"> można było wyprodukować samochód w każdym kolorze, pod warunkiem, że był to kolor czarny</w:t>
            </w:r>
          </w:p>
        </w:tc>
        <w:tc>
          <w:tcPr>
            <w:tcW w:w="2266" w:type="dxa"/>
          </w:tcPr>
          <w:p w14:paraId="66FCBB5D" w14:textId="77777777" w:rsidR="00310B26" w:rsidRPr="00464781" w:rsidRDefault="00310B26" w:rsidP="00163AE9">
            <w:pPr>
              <w:pStyle w:val="doc-ti"/>
              <w:rPr>
                <w:sz w:val="20"/>
                <w:szCs w:val="20"/>
              </w:rPr>
            </w:pPr>
            <w:r w:rsidRPr="00464781">
              <w:rPr>
                <w:sz w:val="20"/>
                <w:szCs w:val="20"/>
              </w:rPr>
              <w:t>Edukacja ekonomiczna w znaczącej liczbie szkół</w:t>
            </w:r>
          </w:p>
        </w:tc>
      </w:tr>
      <w:tr w:rsidR="00310B26" w:rsidRPr="00464781" w14:paraId="1365C5FC" w14:textId="77777777" w:rsidTr="00163AE9">
        <w:tc>
          <w:tcPr>
            <w:tcW w:w="2265" w:type="dxa"/>
          </w:tcPr>
          <w:p w14:paraId="694CD497" w14:textId="77777777" w:rsidR="00310B26" w:rsidRPr="00464781" w:rsidRDefault="00310B26" w:rsidP="00163AE9">
            <w:pPr>
              <w:pStyle w:val="doc-ti"/>
              <w:rPr>
                <w:sz w:val="20"/>
                <w:szCs w:val="20"/>
              </w:rPr>
            </w:pPr>
            <w:r w:rsidRPr="00464781">
              <w:rPr>
                <w:sz w:val="20"/>
                <w:szCs w:val="20"/>
              </w:rPr>
              <w:t>Dostosowawczy</w:t>
            </w:r>
          </w:p>
        </w:tc>
        <w:tc>
          <w:tcPr>
            <w:tcW w:w="2265" w:type="dxa"/>
          </w:tcPr>
          <w:p w14:paraId="43849C97" w14:textId="77777777" w:rsidR="00310B26" w:rsidRPr="00464781" w:rsidRDefault="00310B26" w:rsidP="00163AE9">
            <w:pPr>
              <w:pStyle w:val="doc-ti"/>
              <w:rPr>
                <w:sz w:val="20"/>
                <w:szCs w:val="20"/>
              </w:rPr>
            </w:pPr>
            <w:r w:rsidRPr="00464781">
              <w:rPr>
                <w:sz w:val="20"/>
                <w:szCs w:val="20"/>
              </w:rPr>
              <w:t>Zgoda na główne zmiany, tzn. poziom popytu i gustu konsumentów</w:t>
            </w:r>
          </w:p>
        </w:tc>
        <w:tc>
          <w:tcPr>
            <w:tcW w:w="2266" w:type="dxa"/>
          </w:tcPr>
          <w:p w14:paraId="517830BC" w14:textId="77777777" w:rsidR="00310B26" w:rsidRPr="00464781" w:rsidRDefault="00310B26" w:rsidP="00163AE9">
            <w:pPr>
              <w:pStyle w:val="doc-ti"/>
              <w:rPr>
                <w:sz w:val="20"/>
                <w:szCs w:val="20"/>
              </w:rPr>
            </w:pPr>
            <w:r w:rsidRPr="00464781">
              <w:rPr>
                <w:sz w:val="20"/>
                <w:szCs w:val="20"/>
              </w:rPr>
              <w:t>Przemysł drzewny w większości krajów – odpowiedź na gusta klientów</w:t>
            </w:r>
          </w:p>
        </w:tc>
        <w:tc>
          <w:tcPr>
            <w:tcW w:w="2266" w:type="dxa"/>
          </w:tcPr>
          <w:p w14:paraId="0AF27B03" w14:textId="77777777" w:rsidR="00310B26" w:rsidRPr="00464781" w:rsidRDefault="00310B26" w:rsidP="00163AE9">
            <w:pPr>
              <w:pStyle w:val="doc-ti"/>
              <w:rPr>
                <w:sz w:val="20"/>
                <w:szCs w:val="20"/>
              </w:rPr>
            </w:pPr>
            <w:r w:rsidRPr="00464781">
              <w:rPr>
                <w:sz w:val="20"/>
                <w:szCs w:val="20"/>
              </w:rPr>
              <w:t xml:space="preserve">Moda na klasy mundurowe </w:t>
            </w:r>
          </w:p>
        </w:tc>
      </w:tr>
      <w:tr w:rsidR="00310B26" w:rsidRPr="00464781" w14:paraId="41F0CBB4" w14:textId="77777777" w:rsidTr="00163AE9">
        <w:tc>
          <w:tcPr>
            <w:tcW w:w="2265" w:type="dxa"/>
          </w:tcPr>
          <w:p w14:paraId="4269083F" w14:textId="77777777" w:rsidR="00310B26" w:rsidRPr="00464781" w:rsidRDefault="00310B26" w:rsidP="00163AE9">
            <w:pPr>
              <w:pStyle w:val="doc-ti"/>
              <w:rPr>
                <w:sz w:val="20"/>
                <w:szCs w:val="20"/>
              </w:rPr>
            </w:pPr>
            <w:r w:rsidRPr="00464781">
              <w:rPr>
                <w:sz w:val="20"/>
                <w:szCs w:val="20"/>
              </w:rPr>
              <w:lastRenderedPageBreak/>
              <w:t>Reakcyjny</w:t>
            </w:r>
          </w:p>
        </w:tc>
        <w:tc>
          <w:tcPr>
            <w:tcW w:w="2265" w:type="dxa"/>
          </w:tcPr>
          <w:p w14:paraId="526E3F76" w14:textId="77777777" w:rsidR="00310B26" w:rsidRPr="00464781" w:rsidRDefault="00310B26" w:rsidP="00163AE9">
            <w:pPr>
              <w:pStyle w:val="doc-ti"/>
              <w:rPr>
                <w:sz w:val="20"/>
                <w:szCs w:val="20"/>
              </w:rPr>
            </w:pPr>
            <w:r w:rsidRPr="00464781">
              <w:rPr>
                <w:sz w:val="20"/>
                <w:szCs w:val="20"/>
              </w:rPr>
              <w:t>Dokonane będą znaczące zmiany w produktach lub rynkach w celu zdobycia lub utrzymania klientów</w:t>
            </w:r>
          </w:p>
        </w:tc>
        <w:tc>
          <w:tcPr>
            <w:tcW w:w="2266" w:type="dxa"/>
          </w:tcPr>
          <w:p w14:paraId="6A858541" w14:textId="77777777" w:rsidR="00310B26" w:rsidRPr="00464781" w:rsidRDefault="00310B26" w:rsidP="00163AE9">
            <w:pPr>
              <w:pStyle w:val="doc-ti"/>
              <w:rPr>
                <w:sz w:val="20"/>
                <w:szCs w:val="20"/>
              </w:rPr>
            </w:pPr>
            <w:r w:rsidRPr="00464781">
              <w:rPr>
                <w:sz w:val="20"/>
                <w:szCs w:val="20"/>
              </w:rPr>
              <w:t>Produkcja komputerów osobistych w IBM, gdy okazało się, że są one perspektywiczne</w:t>
            </w:r>
          </w:p>
        </w:tc>
        <w:tc>
          <w:tcPr>
            <w:tcW w:w="2266" w:type="dxa"/>
          </w:tcPr>
          <w:p w14:paraId="1F560454" w14:textId="77777777" w:rsidR="00310B26" w:rsidRPr="00464781" w:rsidRDefault="00310B26" w:rsidP="00163AE9">
            <w:pPr>
              <w:pStyle w:val="doc-ti"/>
              <w:rPr>
                <w:sz w:val="20"/>
                <w:szCs w:val="20"/>
              </w:rPr>
            </w:pPr>
            <w:r w:rsidRPr="00464781">
              <w:rPr>
                <w:sz w:val="20"/>
                <w:szCs w:val="20"/>
              </w:rPr>
              <w:t>Zmiana modelu nauczania, wykorzystanie nowych technologii w nauczaniu</w:t>
            </w:r>
          </w:p>
        </w:tc>
      </w:tr>
      <w:tr w:rsidR="00310B26" w:rsidRPr="00464781" w14:paraId="16803509" w14:textId="77777777" w:rsidTr="00163AE9">
        <w:tc>
          <w:tcPr>
            <w:tcW w:w="2265" w:type="dxa"/>
          </w:tcPr>
          <w:p w14:paraId="4DC39347" w14:textId="77777777" w:rsidR="00310B26" w:rsidRPr="00464781" w:rsidRDefault="00310B26" w:rsidP="00163AE9">
            <w:pPr>
              <w:pStyle w:val="doc-ti"/>
              <w:rPr>
                <w:sz w:val="20"/>
                <w:szCs w:val="20"/>
              </w:rPr>
            </w:pPr>
            <w:r w:rsidRPr="00464781">
              <w:rPr>
                <w:sz w:val="20"/>
                <w:szCs w:val="20"/>
              </w:rPr>
              <w:t>Adaptacyjny/ proaktywny</w:t>
            </w:r>
          </w:p>
        </w:tc>
        <w:tc>
          <w:tcPr>
            <w:tcW w:w="2265" w:type="dxa"/>
          </w:tcPr>
          <w:p w14:paraId="62F5F14B" w14:textId="77777777" w:rsidR="00310B26" w:rsidRPr="00464781" w:rsidRDefault="00310B26" w:rsidP="00163AE9">
            <w:pPr>
              <w:pStyle w:val="doc-ti"/>
              <w:rPr>
                <w:sz w:val="20"/>
                <w:szCs w:val="20"/>
              </w:rPr>
            </w:pPr>
            <w:r w:rsidRPr="00464781">
              <w:rPr>
                <w:sz w:val="20"/>
                <w:szCs w:val="20"/>
              </w:rPr>
              <w:t>Dokonane będą znaczące zmiany zarówno w produktach, jak i rynkach w celu zdobycia, jak i utrzymania klientów</w:t>
            </w:r>
          </w:p>
        </w:tc>
        <w:tc>
          <w:tcPr>
            <w:tcW w:w="2266" w:type="dxa"/>
          </w:tcPr>
          <w:p w14:paraId="1036B6AC" w14:textId="77777777" w:rsidR="00310B26" w:rsidRPr="00464781" w:rsidRDefault="00310B26" w:rsidP="00163AE9">
            <w:pPr>
              <w:pStyle w:val="doc-ti"/>
              <w:rPr>
                <w:sz w:val="20"/>
                <w:szCs w:val="20"/>
              </w:rPr>
            </w:pPr>
            <w:r w:rsidRPr="00464781">
              <w:rPr>
                <w:sz w:val="20"/>
                <w:szCs w:val="20"/>
              </w:rPr>
              <w:t xml:space="preserve">Indywidualizacja podejścia w odniesieniu do klienta, np. w branży hotelarskiej </w:t>
            </w:r>
          </w:p>
        </w:tc>
        <w:tc>
          <w:tcPr>
            <w:tcW w:w="2266" w:type="dxa"/>
          </w:tcPr>
          <w:p w14:paraId="1E0A9198" w14:textId="77777777" w:rsidR="00310B26" w:rsidRPr="00464781" w:rsidRDefault="00310B26" w:rsidP="00163AE9">
            <w:pPr>
              <w:pStyle w:val="doc-ti"/>
              <w:rPr>
                <w:sz w:val="20"/>
                <w:szCs w:val="20"/>
              </w:rPr>
            </w:pPr>
            <w:r w:rsidRPr="00464781">
              <w:rPr>
                <w:sz w:val="20"/>
                <w:szCs w:val="20"/>
              </w:rPr>
              <w:t>Wysokiej jakości indywidualizacja pracy  z uczniem zdolnym</w:t>
            </w:r>
          </w:p>
        </w:tc>
      </w:tr>
      <w:tr w:rsidR="00310B26" w:rsidRPr="00464781" w14:paraId="533DF224" w14:textId="77777777" w:rsidTr="00163AE9">
        <w:tc>
          <w:tcPr>
            <w:tcW w:w="2265" w:type="dxa"/>
          </w:tcPr>
          <w:p w14:paraId="4F7F5251" w14:textId="77777777" w:rsidR="00310B26" w:rsidRPr="00464781" w:rsidRDefault="00310B26" w:rsidP="00163AE9">
            <w:pPr>
              <w:pStyle w:val="doc-ti"/>
              <w:rPr>
                <w:sz w:val="20"/>
                <w:szCs w:val="20"/>
              </w:rPr>
            </w:pPr>
            <w:r w:rsidRPr="00464781">
              <w:rPr>
                <w:sz w:val="20"/>
                <w:szCs w:val="20"/>
              </w:rPr>
              <w:t>Elastyczny</w:t>
            </w:r>
          </w:p>
        </w:tc>
        <w:tc>
          <w:tcPr>
            <w:tcW w:w="2265" w:type="dxa"/>
          </w:tcPr>
          <w:p w14:paraId="6285C22B" w14:textId="77777777" w:rsidR="00310B26" w:rsidRPr="00464781" w:rsidRDefault="00310B26" w:rsidP="00163AE9">
            <w:pPr>
              <w:pStyle w:val="doc-ti"/>
              <w:rPr>
                <w:sz w:val="20"/>
                <w:szCs w:val="20"/>
              </w:rPr>
            </w:pPr>
            <w:r w:rsidRPr="00464781">
              <w:rPr>
                <w:sz w:val="20"/>
                <w:szCs w:val="20"/>
              </w:rPr>
              <w:t>Zmiany w produktach, jak i rynkach w odpowiedzi na słaby sygnał</w:t>
            </w:r>
          </w:p>
        </w:tc>
        <w:tc>
          <w:tcPr>
            <w:tcW w:w="2266" w:type="dxa"/>
          </w:tcPr>
          <w:p w14:paraId="4076D62B" w14:textId="77777777" w:rsidR="00310B26" w:rsidRPr="00464781" w:rsidRDefault="00310B26" w:rsidP="00163AE9">
            <w:pPr>
              <w:pStyle w:val="doc-ti"/>
              <w:rPr>
                <w:sz w:val="20"/>
                <w:szCs w:val="20"/>
              </w:rPr>
            </w:pPr>
            <w:r w:rsidRPr="00464781">
              <w:rPr>
                <w:sz w:val="20"/>
                <w:szCs w:val="20"/>
              </w:rPr>
              <w:t>Czołowe firmy konsultingowe.</w:t>
            </w:r>
            <w:r w:rsidRPr="00464781">
              <w:rPr>
                <w:sz w:val="20"/>
                <w:szCs w:val="20"/>
              </w:rPr>
              <w:br/>
              <w:t>Firmy modowe</w:t>
            </w:r>
          </w:p>
        </w:tc>
        <w:tc>
          <w:tcPr>
            <w:tcW w:w="2266" w:type="dxa"/>
          </w:tcPr>
          <w:p w14:paraId="2A0314B3" w14:textId="77777777" w:rsidR="00310B26" w:rsidRPr="00464781" w:rsidRDefault="00310B26" w:rsidP="00163AE9">
            <w:pPr>
              <w:pStyle w:val="doc-ti"/>
              <w:rPr>
                <w:sz w:val="20"/>
                <w:szCs w:val="20"/>
              </w:rPr>
            </w:pPr>
            <w:r w:rsidRPr="00464781">
              <w:rPr>
                <w:sz w:val="20"/>
                <w:szCs w:val="20"/>
              </w:rPr>
              <w:t xml:space="preserve">??? </w:t>
            </w:r>
            <w:r w:rsidRPr="00464781">
              <w:rPr>
                <w:sz w:val="20"/>
                <w:szCs w:val="20"/>
              </w:rPr>
              <w:br/>
              <w:t xml:space="preserve">Szkoły demokratyczne. Idea </w:t>
            </w:r>
            <w:proofErr w:type="spellStart"/>
            <w:r w:rsidRPr="00464781">
              <w:rPr>
                <w:sz w:val="20"/>
                <w:szCs w:val="20"/>
              </w:rPr>
              <w:t>flexischoolingu</w:t>
            </w:r>
            <w:proofErr w:type="spellEnd"/>
            <w:r w:rsidRPr="00464781">
              <w:rPr>
                <w:sz w:val="20"/>
                <w:szCs w:val="20"/>
              </w:rPr>
              <w:t>. Nauczania domowe</w:t>
            </w:r>
          </w:p>
        </w:tc>
      </w:tr>
    </w:tbl>
    <w:p w14:paraId="0A7F2420" w14:textId="77777777" w:rsidR="00310B26" w:rsidRPr="00464781" w:rsidRDefault="00310B26" w:rsidP="00310B26">
      <w:pPr>
        <w:pStyle w:val="Tekstprzypisudolnego"/>
        <w:spacing w:line="360" w:lineRule="auto"/>
        <w:jc w:val="both"/>
        <w:rPr>
          <w:rFonts w:ascii="Times New Roman" w:hAnsi="Times New Roman" w:cs="Times New Roman"/>
        </w:rPr>
      </w:pPr>
      <w:r w:rsidRPr="00464781">
        <w:rPr>
          <w:rFonts w:ascii="Times New Roman" w:hAnsi="Times New Roman" w:cs="Times New Roman"/>
        </w:rPr>
        <w:t xml:space="preserve">Źródło: opracowanie własne na podstawie: </w:t>
      </w:r>
      <w:proofErr w:type="spellStart"/>
      <w:r w:rsidRPr="00464781">
        <w:rPr>
          <w:rFonts w:ascii="Times New Roman" w:hAnsi="Times New Roman" w:cs="Times New Roman"/>
        </w:rPr>
        <w:t>Kasiewicz</w:t>
      </w:r>
      <w:proofErr w:type="spellEnd"/>
      <w:r w:rsidRPr="00464781">
        <w:rPr>
          <w:rFonts w:ascii="Times New Roman" w:hAnsi="Times New Roman" w:cs="Times New Roman"/>
        </w:rPr>
        <w:t xml:space="preserve"> S., Ormiańska J., Rogowski W., Urban W., </w:t>
      </w:r>
      <w:r w:rsidRPr="00464781">
        <w:rPr>
          <w:rFonts w:ascii="Times New Roman" w:hAnsi="Times New Roman" w:cs="Times New Roman"/>
          <w:i/>
        </w:rPr>
        <w:t>Metody osiągania elastyczności przedsiębiorstw</w:t>
      </w:r>
      <w:r w:rsidRPr="00464781">
        <w:rPr>
          <w:rFonts w:ascii="Times New Roman" w:hAnsi="Times New Roman" w:cs="Times New Roman"/>
        </w:rPr>
        <w:t>, Oficyna Wydawnicza SGH , Warszawa 2009</w:t>
      </w:r>
    </w:p>
    <w:p w14:paraId="4A999952" w14:textId="64E94AF8" w:rsidR="00310B26" w:rsidRPr="00310B26" w:rsidRDefault="00310B26" w:rsidP="00310B26">
      <w:pPr>
        <w:pStyle w:val="doc-ti"/>
        <w:tabs>
          <w:tab w:val="left" w:pos="2820"/>
        </w:tabs>
        <w:spacing w:line="360" w:lineRule="auto"/>
        <w:jc w:val="both"/>
      </w:pPr>
      <w:r w:rsidRPr="00310B26">
        <w:t xml:space="preserve">Z punktu widzenia autora szereg działań, które podejmowane są w polskiej szkole w odniesieniu do edukacji </w:t>
      </w:r>
      <w:r w:rsidR="00464781">
        <w:t xml:space="preserve">przedsiębiorczości </w:t>
      </w:r>
      <w:r w:rsidRPr="00310B26">
        <w:t xml:space="preserve"> jest daleki od idei elastyczności. Mimo dostępności wielu programów i narzędzi możliwych do wykorzystania w procesie nauczania systemowo polską szkołę cechuje sztywne podejście do edukacji ekonomicznej. Zagadnienia te są z punktu widzenia zarządzających szkołami często mało istotne – wszakże całościowa ocena szkoły nie ma co do zasady mierników, które dotyczą programów nauczania przedsiębiorczości, finansów i innych zagadnień ekonomicznych, tematyka ta nie jest elementem egzaminów kończących proces edukacji w danym typie szkoły, nie przykłada się de facto dużej roli do oceny losów absolwentów w perspektywie średnio- i długookresowej.</w:t>
      </w:r>
    </w:p>
    <w:p w14:paraId="1941DFCC" w14:textId="64EE0879" w:rsidR="00156875" w:rsidRPr="00310B26" w:rsidRDefault="00156875" w:rsidP="00DC4E7F">
      <w:pPr>
        <w:autoSpaceDE w:val="0"/>
        <w:autoSpaceDN w:val="0"/>
        <w:adjustRightInd w:val="0"/>
        <w:spacing w:after="0" w:line="240" w:lineRule="auto"/>
        <w:jc w:val="both"/>
        <w:rPr>
          <w:rFonts w:ascii="Times New Roman" w:hAnsi="Times New Roman" w:cs="Times New Roman"/>
          <w:sz w:val="24"/>
          <w:szCs w:val="24"/>
        </w:rPr>
      </w:pPr>
    </w:p>
    <w:p w14:paraId="2C644038" w14:textId="41A93FA7" w:rsidR="006D02A0" w:rsidRPr="00310B26" w:rsidRDefault="006D02A0" w:rsidP="006D02A0">
      <w:pPr>
        <w:pStyle w:val="Nagwek2"/>
        <w:spacing w:line="360" w:lineRule="auto"/>
        <w:rPr>
          <w:rFonts w:ascii="Times New Roman" w:hAnsi="Times New Roman" w:cs="Times New Roman"/>
          <w:b/>
          <w:bCs/>
          <w:color w:val="000000" w:themeColor="text1"/>
          <w:sz w:val="24"/>
          <w:szCs w:val="24"/>
        </w:rPr>
      </w:pPr>
      <w:r w:rsidRPr="00310B26">
        <w:rPr>
          <w:rFonts w:ascii="Times New Roman" w:hAnsi="Times New Roman" w:cs="Times New Roman"/>
          <w:b/>
          <w:bCs/>
          <w:color w:val="000000" w:themeColor="text1"/>
          <w:sz w:val="24"/>
          <w:szCs w:val="24"/>
        </w:rPr>
        <w:t>P</w:t>
      </w:r>
      <w:r w:rsidR="00AD25B4" w:rsidRPr="00310B26">
        <w:rPr>
          <w:rFonts w:ascii="Times New Roman" w:hAnsi="Times New Roman" w:cs="Times New Roman"/>
          <w:b/>
          <w:bCs/>
          <w:color w:val="000000" w:themeColor="text1"/>
          <w:sz w:val="24"/>
          <w:szCs w:val="24"/>
        </w:rPr>
        <w:t>odsumowanie</w:t>
      </w:r>
    </w:p>
    <w:p w14:paraId="48E25D98" w14:textId="262D8CB5" w:rsidR="00FA0CED" w:rsidRDefault="00BA1E33" w:rsidP="00152B47">
      <w:pPr>
        <w:pStyle w:val="doc-ti"/>
        <w:spacing w:line="360" w:lineRule="auto"/>
        <w:jc w:val="both"/>
        <w:rPr>
          <w:noProof/>
        </w:rPr>
      </w:pPr>
      <w:r>
        <w:rPr>
          <w:noProof/>
        </w:rPr>
        <w:t>Zadaniem szkoły jest kreowanie ucznia (i absolwenta), którego można okresćlić jako osobę przedsiębiorczą. Szkoa nie może jednak zostać pzoosawiona „sama sobie”, bowiem jedynie współpraca z interesariuszami szkoły, w szczgólnści  pracodawcami, może sprzyjać temu, ze uczniowie kończący szkołę będą otwarci, elastyczni, otwarci na nowe, komunikatywni, mający umiejętnośći wpółpracy z innymi itd. – czyli posiadający cechy skłądająe się na postawę przedsiębiorczą.</w:t>
      </w:r>
    </w:p>
    <w:p w14:paraId="45AD68FE" w14:textId="77777777" w:rsidR="00BA1E33" w:rsidRPr="00310B26" w:rsidRDefault="00BA1E33" w:rsidP="00152B47">
      <w:pPr>
        <w:pStyle w:val="doc-ti"/>
        <w:spacing w:line="360" w:lineRule="auto"/>
        <w:jc w:val="both"/>
        <w:rPr>
          <w:noProof/>
        </w:rPr>
      </w:pPr>
    </w:p>
    <w:p w14:paraId="622ED372" w14:textId="387D2DE3" w:rsidR="006D02A0" w:rsidRPr="00310B26" w:rsidRDefault="006D02A0" w:rsidP="00156875">
      <w:pPr>
        <w:pStyle w:val="Nagwek2"/>
        <w:spacing w:line="360" w:lineRule="auto"/>
        <w:rPr>
          <w:rFonts w:ascii="Times New Roman" w:hAnsi="Times New Roman" w:cs="Times New Roman"/>
          <w:b/>
          <w:bCs/>
          <w:color w:val="000000" w:themeColor="text1"/>
          <w:sz w:val="24"/>
          <w:szCs w:val="24"/>
        </w:rPr>
      </w:pPr>
      <w:r w:rsidRPr="00310B26">
        <w:rPr>
          <w:rFonts w:ascii="Times New Roman" w:hAnsi="Times New Roman" w:cs="Times New Roman"/>
          <w:b/>
          <w:bCs/>
          <w:color w:val="000000" w:themeColor="text1"/>
          <w:sz w:val="24"/>
          <w:szCs w:val="24"/>
        </w:rPr>
        <w:lastRenderedPageBreak/>
        <w:t xml:space="preserve">Bibliografia </w:t>
      </w:r>
    </w:p>
    <w:p w14:paraId="251E4658" w14:textId="77777777" w:rsidR="00464781" w:rsidRPr="00464781" w:rsidRDefault="00464781" w:rsidP="00464781">
      <w:pPr>
        <w:pStyle w:val="Nagwek2"/>
        <w:numPr>
          <w:ilvl w:val="0"/>
          <w:numId w:val="9"/>
        </w:numPr>
        <w:rPr>
          <w:rFonts w:ascii="Times New Roman" w:hAnsi="Times New Roman" w:cs="Times New Roman"/>
          <w:color w:val="auto"/>
          <w:sz w:val="24"/>
          <w:szCs w:val="24"/>
        </w:rPr>
      </w:pPr>
      <w:r w:rsidRPr="00464781">
        <w:rPr>
          <w:rFonts w:ascii="Times New Roman" w:hAnsi="Times New Roman" w:cs="Times New Roman"/>
          <w:color w:val="auto"/>
          <w:sz w:val="24"/>
          <w:szCs w:val="24"/>
        </w:rPr>
        <w:t xml:space="preserve">Andrzejczak A., </w:t>
      </w:r>
      <w:r w:rsidRPr="00464781">
        <w:rPr>
          <w:rFonts w:ascii="Times New Roman" w:hAnsi="Times New Roman" w:cs="Times New Roman"/>
          <w:i/>
          <w:color w:val="auto"/>
          <w:sz w:val="24"/>
          <w:szCs w:val="24"/>
        </w:rPr>
        <w:t>Uniwersytet przedsiębiorczy i odpowiedzialny społecznie</w:t>
      </w:r>
      <w:r w:rsidRPr="00464781">
        <w:rPr>
          <w:rFonts w:ascii="Times New Roman" w:hAnsi="Times New Roman" w:cs="Times New Roman"/>
          <w:color w:val="auto"/>
          <w:sz w:val="24"/>
          <w:szCs w:val="24"/>
        </w:rPr>
        <w:t>, Edukacja Ekonomistów i Menedżerów : problemy, innowacje, projekty, nr 4 (38)/2015</w:t>
      </w:r>
    </w:p>
    <w:p w14:paraId="157D6F58" w14:textId="77777777" w:rsidR="00464781" w:rsidRPr="00464781" w:rsidRDefault="00464781" w:rsidP="00464781">
      <w:pPr>
        <w:pStyle w:val="Tekstprzypisudolnego"/>
        <w:numPr>
          <w:ilvl w:val="0"/>
          <w:numId w:val="9"/>
        </w:numPr>
        <w:rPr>
          <w:rFonts w:ascii="Times New Roman" w:hAnsi="Times New Roman" w:cs="Times New Roman"/>
          <w:sz w:val="24"/>
          <w:szCs w:val="24"/>
        </w:rPr>
      </w:pPr>
      <w:hyperlink r:id="rId8" w:history="1">
        <w:r w:rsidRPr="00464781">
          <w:rPr>
            <w:rStyle w:val="Hipercze"/>
            <w:rFonts w:ascii="Times New Roman" w:hAnsi="Times New Roman" w:cs="Times New Roman"/>
            <w:sz w:val="24"/>
            <w:szCs w:val="24"/>
          </w:rPr>
          <w:t>https://www.think.org.pl/projekty/dzialania/206-przestrzenie-edukacji</w:t>
        </w:r>
      </w:hyperlink>
      <w:r w:rsidRPr="00464781">
        <w:rPr>
          <w:rFonts w:ascii="Times New Roman" w:hAnsi="Times New Roman" w:cs="Times New Roman"/>
          <w:sz w:val="24"/>
          <w:szCs w:val="24"/>
        </w:rPr>
        <w:t>.</w:t>
      </w:r>
    </w:p>
    <w:p w14:paraId="0825407D" w14:textId="77777777" w:rsidR="00464781" w:rsidRPr="00464781" w:rsidRDefault="00464781" w:rsidP="00464781">
      <w:pPr>
        <w:pStyle w:val="Tekstprzypisudolnego"/>
        <w:numPr>
          <w:ilvl w:val="0"/>
          <w:numId w:val="9"/>
        </w:numPr>
        <w:jc w:val="both"/>
        <w:rPr>
          <w:rFonts w:ascii="Times New Roman" w:hAnsi="Times New Roman" w:cs="Times New Roman"/>
          <w:sz w:val="24"/>
          <w:szCs w:val="24"/>
        </w:rPr>
      </w:pPr>
      <w:hyperlink r:id="rId9" w:history="1">
        <w:r w:rsidRPr="00464781">
          <w:rPr>
            <w:rStyle w:val="Hipercze"/>
            <w:rFonts w:ascii="Times New Roman" w:hAnsi="Times New Roman" w:cs="Times New Roman"/>
            <w:sz w:val="24"/>
            <w:szCs w:val="24"/>
          </w:rPr>
          <w:t>https://www2.deloitte.com/pl/pl/pages/human-capital/articles/hr-pierwsze-kroki-na-rynku-placy-2018-kadry.html</w:t>
        </w:r>
      </w:hyperlink>
      <w:r w:rsidRPr="00464781">
        <w:rPr>
          <w:rFonts w:ascii="Times New Roman" w:hAnsi="Times New Roman" w:cs="Times New Roman"/>
          <w:sz w:val="24"/>
          <w:szCs w:val="24"/>
        </w:rPr>
        <w:t>.</w:t>
      </w:r>
    </w:p>
    <w:p w14:paraId="1827B3C2" w14:textId="77777777" w:rsidR="00464781" w:rsidRPr="00464781" w:rsidRDefault="00464781" w:rsidP="00464781">
      <w:pPr>
        <w:pStyle w:val="Tekstprzypisudolnego"/>
        <w:numPr>
          <w:ilvl w:val="0"/>
          <w:numId w:val="9"/>
        </w:numPr>
        <w:jc w:val="both"/>
        <w:rPr>
          <w:rFonts w:ascii="Times New Roman" w:hAnsi="Times New Roman" w:cs="Times New Roman"/>
          <w:sz w:val="24"/>
          <w:szCs w:val="24"/>
        </w:rPr>
      </w:pPr>
      <w:r w:rsidRPr="00464781">
        <w:rPr>
          <w:rFonts w:ascii="Times New Roman" w:hAnsi="Times New Roman" w:cs="Times New Roman"/>
          <w:sz w:val="24"/>
          <w:szCs w:val="24"/>
        </w:rPr>
        <w:t xml:space="preserve">Juchnowicz M. (red.), </w:t>
      </w:r>
      <w:r w:rsidRPr="00464781">
        <w:rPr>
          <w:rFonts w:ascii="Times New Roman" w:hAnsi="Times New Roman" w:cs="Times New Roman"/>
          <w:i/>
          <w:sz w:val="24"/>
          <w:szCs w:val="24"/>
        </w:rPr>
        <w:t>Elastyczne zarządzanie kapitałem ludzkim z perspektywy interesariuszy,</w:t>
      </w:r>
      <w:r w:rsidRPr="00464781">
        <w:rPr>
          <w:rFonts w:ascii="Times New Roman" w:hAnsi="Times New Roman" w:cs="Times New Roman"/>
          <w:sz w:val="24"/>
          <w:szCs w:val="24"/>
        </w:rPr>
        <w:t xml:space="preserve"> Polskie Wydawnictwo Ekonomiczne, Warszawa 2016.</w:t>
      </w:r>
    </w:p>
    <w:p w14:paraId="4627E3BB" w14:textId="77777777" w:rsidR="00464781" w:rsidRPr="00464781" w:rsidRDefault="00464781" w:rsidP="00464781">
      <w:pPr>
        <w:pStyle w:val="Tekstprzypisudolnego"/>
        <w:numPr>
          <w:ilvl w:val="0"/>
          <w:numId w:val="9"/>
        </w:numPr>
        <w:jc w:val="both"/>
        <w:rPr>
          <w:rFonts w:ascii="Times New Roman" w:hAnsi="Times New Roman" w:cs="Times New Roman"/>
          <w:sz w:val="32"/>
          <w:szCs w:val="32"/>
        </w:rPr>
      </w:pPr>
      <w:proofErr w:type="spellStart"/>
      <w:r w:rsidRPr="00464781">
        <w:rPr>
          <w:rFonts w:ascii="Times New Roman" w:hAnsi="Times New Roman" w:cs="Times New Roman"/>
          <w:sz w:val="24"/>
          <w:szCs w:val="24"/>
        </w:rPr>
        <w:t>Kasiewicz</w:t>
      </w:r>
      <w:proofErr w:type="spellEnd"/>
      <w:r w:rsidRPr="00464781">
        <w:rPr>
          <w:rFonts w:ascii="Times New Roman" w:hAnsi="Times New Roman" w:cs="Times New Roman"/>
          <w:sz w:val="24"/>
          <w:szCs w:val="24"/>
        </w:rPr>
        <w:t xml:space="preserve"> S., Ormiańska J., Rogowski W., Urban W., </w:t>
      </w:r>
      <w:r w:rsidRPr="00464781">
        <w:rPr>
          <w:rFonts w:ascii="Times New Roman" w:hAnsi="Times New Roman" w:cs="Times New Roman"/>
          <w:i/>
          <w:sz w:val="24"/>
          <w:szCs w:val="24"/>
        </w:rPr>
        <w:t>Metody osiągania elastyczności przedsiębiorstw</w:t>
      </w:r>
      <w:r w:rsidRPr="00464781">
        <w:rPr>
          <w:rFonts w:ascii="Times New Roman" w:hAnsi="Times New Roman" w:cs="Times New Roman"/>
          <w:sz w:val="24"/>
          <w:szCs w:val="24"/>
        </w:rPr>
        <w:t>, Oficyna Wydawnicza SGH , Warszawa 2009</w:t>
      </w:r>
    </w:p>
    <w:p w14:paraId="03585700" w14:textId="77777777" w:rsidR="00464781" w:rsidRPr="00464781" w:rsidRDefault="00464781" w:rsidP="00464781">
      <w:pPr>
        <w:pStyle w:val="Nagwek2"/>
        <w:numPr>
          <w:ilvl w:val="0"/>
          <w:numId w:val="9"/>
        </w:numPr>
        <w:rPr>
          <w:rFonts w:ascii="Times New Roman" w:hAnsi="Times New Roman" w:cs="Times New Roman"/>
          <w:color w:val="auto"/>
          <w:sz w:val="24"/>
          <w:szCs w:val="24"/>
        </w:rPr>
      </w:pPr>
      <w:r w:rsidRPr="00464781">
        <w:rPr>
          <w:rFonts w:ascii="Times New Roman" w:hAnsi="Times New Roman" w:cs="Times New Roman"/>
          <w:color w:val="auto"/>
          <w:sz w:val="24"/>
          <w:szCs w:val="24"/>
        </w:rPr>
        <w:t xml:space="preserve">Leja K., </w:t>
      </w:r>
      <w:r w:rsidRPr="00464781">
        <w:rPr>
          <w:rFonts w:ascii="Times New Roman" w:hAnsi="Times New Roman" w:cs="Times New Roman"/>
          <w:i/>
          <w:color w:val="auto"/>
          <w:sz w:val="24"/>
          <w:szCs w:val="24"/>
        </w:rPr>
        <w:t>Uniwersytet: tradycyjny – przedsiębiorczy – oparty na wiedzy</w:t>
      </w:r>
      <w:r w:rsidRPr="00464781">
        <w:rPr>
          <w:rFonts w:ascii="Times New Roman" w:hAnsi="Times New Roman" w:cs="Times New Roman"/>
          <w:color w:val="auto"/>
          <w:sz w:val="24"/>
          <w:szCs w:val="24"/>
        </w:rPr>
        <w:t>, Nauka i Szkolnictwo Wyższe, nr 2/28/2006</w:t>
      </w:r>
    </w:p>
    <w:p w14:paraId="6F0E5B36" w14:textId="77777777" w:rsidR="00464781" w:rsidRPr="00464781" w:rsidRDefault="00464781" w:rsidP="00464781">
      <w:pPr>
        <w:pStyle w:val="Nagwek2"/>
        <w:numPr>
          <w:ilvl w:val="0"/>
          <w:numId w:val="9"/>
        </w:numPr>
        <w:rPr>
          <w:rFonts w:ascii="Times New Roman" w:hAnsi="Times New Roman" w:cs="Times New Roman"/>
          <w:color w:val="auto"/>
          <w:sz w:val="24"/>
          <w:szCs w:val="24"/>
        </w:rPr>
      </w:pPr>
      <w:proofErr w:type="spellStart"/>
      <w:r w:rsidRPr="00464781">
        <w:rPr>
          <w:rFonts w:ascii="Times New Roman" w:hAnsi="Times New Roman" w:cs="Times New Roman"/>
          <w:color w:val="auto"/>
          <w:sz w:val="24"/>
          <w:szCs w:val="24"/>
        </w:rPr>
        <w:t>Olearnik</w:t>
      </w:r>
      <w:proofErr w:type="spellEnd"/>
      <w:r w:rsidRPr="00464781">
        <w:rPr>
          <w:rFonts w:ascii="Times New Roman" w:hAnsi="Times New Roman" w:cs="Times New Roman"/>
          <w:color w:val="auto"/>
          <w:sz w:val="24"/>
          <w:szCs w:val="24"/>
        </w:rPr>
        <w:t xml:space="preserve"> J., </w:t>
      </w:r>
      <w:r w:rsidRPr="00464781">
        <w:rPr>
          <w:rFonts w:ascii="Times New Roman" w:hAnsi="Times New Roman" w:cs="Times New Roman"/>
          <w:i/>
          <w:color w:val="auto"/>
          <w:sz w:val="24"/>
          <w:szCs w:val="24"/>
        </w:rPr>
        <w:t>Uniwersytet przedsiębiorczy – herezja czy nowa orientacja uczelni?</w:t>
      </w:r>
      <w:r w:rsidRPr="00464781">
        <w:rPr>
          <w:rFonts w:ascii="Times New Roman" w:hAnsi="Times New Roman" w:cs="Times New Roman"/>
          <w:color w:val="auto"/>
          <w:sz w:val="24"/>
          <w:szCs w:val="24"/>
        </w:rPr>
        <w:t>, Horyzonty Wychowania, vol 15, nr 35/2016.</w:t>
      </w:r>
    </w:p>
    <w:p w14:paraId="5A0DD322" w14:textId="5F69B3CA" w:rsidR="00464781" w:rsidRDefault="00464781" w:rsidP="00464781">
      <w:pPr>
        <w:pStyle w:val="Tekstprzypisudolnego"/>
        <w:jc w:val="both"/>
        <w:rPr>
          <w:rFonts w:ascii="Times New Roman" w:hAnsi="Times New Roman" w:cs="Times New Roman"/>
          <w:sz w:val="24"/>
          <w:szCs w:val="24"/>
        </w:rPr>
      </w:pPr>
    </w:p>
    <w:p w14:paraId="4281F0F3" w14:textId="14CE1A02" w:rsidR="00AF1184" w:rsidRDefault="00AF1184" w:rsidP="003F0FC1">
      <w:pPr>
        <w:pStyle w:val="Tekstprzypisudolnego"/>
        <w:jc w:val="both"/>
        <w:rPr>
          <w:rFonts w:ascii="Times New Roman" w:hAnsi="Times New Roman" w:cs="Times New Roman"/>
          <w:sz w:val="24"/>
          <w:szCs w:val="24"/>
        </w:rPr>
      </w:pPr>
    </w:p>
    <w:p w14:paraId="41C88E13" w14:textId="77777777" w:rsidR="00464781" w:rsidRPr="00310B26" w:rsidRDefault="00464781" w:rsidP="003F0FC1">
      <w:pPr>
        <w:pStyle w:val="Tekstprzypisudolnego"/>
        <w:jc w:val="both"/>
        <w:rPr>
          <w:rFonts w:ascii="Times New Roman" w:hAnsi="Times New Roman" w:cs="Times New Roman"/>
          <w:sz w:val="24"/>
          <w:szCs w:val="24"/>
        </w:rPr>
      </w:pPr>
    </w:p>
    <w:sectPr w:rsidR="00464781" w:rsidRPr="00310B2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542C" w14:textId="77777777" w:rsidR="000A7B16" w:rsidRDefault="000A7B16" w:rsidP="001D6CFC">
      <w:pPr>
        <w:spacing w:after="0" w:line="240" w:lineRule="auto"/>
      </w:pPr>
      <w:r>
        <w:separator/>
      </w:r>
    </w:p>
  </w:endnote>
  <w:endnote w:type="continuationSeparator" w:id="0">
    <w:p w14:paraId="0D858A45" w14:textId="77777777" w:rsidR="000A7B16" w:rsidRDefault="000A7B16"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vivl555EU">
    <w:altName w:val="Cambria"/>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r w:rsidRPr="005147AA">
      <w:rPr>
        <w:noProof/>
        <w:lang w:eastAsia="pl-PL"/>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E1F6" w14:textId="77777777" w:rsidR="000A7B16" w:rsidRDefault="000A7B16" w:rsidP="001D6CFC">
      <w:pPr>
        <w:spacing w:after="0" w:line="240" w:lineRule="auto"/>
      </w:pPr>
      <w:r>
        <w:separator/>
      </w:r>
    </w:p>
  </w:footnote>
  <w:footnote w:type="continuationSeparator" w:id="0">
    <w:p w14:paraId="5363CAFE" w14:textId="77777777" w:rsidR="000A7B16" w:rsidRDefault="000A7B16" w:rsidP="001D6CFC">
      <w:pPr>
        <w:spacing w:after="0" w:line="240" w:lineRule="auto"/>
      </w:pPr>
      <w:r>
        <w:continuationSeparator/>
      </w:r>
    </w:p>
  </w:footnote>
  <w:footnote w:id="1">
    <w:p w14:paraId="405004C0" w14:textId="327EE2E8" w:rsidR="003A08FC" w:rsidRPr="00310B26" w:rsidRDefault="003A08FC" w:rsidP="003A08FC">
      <w:pPr>
        <w:pStyle w:val="Tekstprzypisudolnego"/>
        <w:jc w:val="both"/>
        <w:rPr>
          <w:rFonts w:ascii="Times New Roman" w:hAnsi="Times New Roman" w:cs="Times New Roman"/>
        </w:rPr>
      </w:pPr>
      <w:r w:rsidRPr="00310B26">
        <w:rPr>
          <w:rStyle w:val="Odwoanieprzypisudolnego"/>
          <w:rFonts w:ascii="Times New Roman" w:hAnsi="Times New Roman" w:cs="Times New Roman"/>
        </w:rPr>
        <w:footnoteRef/>
      </w:r>
      <w:r w:rsidRPr="00310B26">
        <w:rPr>
          <w:rFonts w:ascii="Times New Roman" w:hAnsi="Times New Roman" w:cs="Times New Roman"/>
        </w:rPr>
        <w:t xml:space="preserve"> Sfinansowano ze środków projektu „Nowoczesny model współpracy szkół zawodowych ze szkołami wyższymi i pracodawcami w zakresie kształcenia w zawodach z grupy branżowej teleinformatycznej (technik telekomunikacji, technik informatyk)”, akronim: MEN-IT nr POWR.02.15.00-00-2009/18</w:t>
      </w:r>
    </w:p>
  </w:footnote>
  <w:footnote w:id="2">
    <w:p w14:paraId="7492E4AD" w14:textId="77777777" w:rsidR="00464781" w:rsidRPr="00310B26" w:rsidRDefault="00464781" w:rsidP="00464781">
      <w:pPr>
        <w:pStyle w:val="Tekstprzypisudolnego"/>
        <w:jc w:val="both"/>
        <w:rPr>
          <w:rFonts w:ascii="Times New Roman" w:hAnsi="Times New Roman" w:cs="Times New Roman"/>
        </w:rPr>
      </w:pPr>
      <w:r w:rsidRPr="00310B26">
        <w:rPr>
          <w:rStyle w:val="Odwoanieprzypisudolnego"/>
          <w:rFonts w:ascii="Times New Roman" w:hAnsi="Times New Roman" w:cs="Times New Roman"/>
        </w:rPr>
        <w:footnoteRef/>
      </w:r>
      <w:r w:rsidRPr="00310B26">
        <w:rPr>
          <w:rFonts w:ascii="Times New Roman" w:hAnsi="Times New Roman" w:cs="Times New Roman"/>
        </w:rPr>
        <w:t xml:space="preserve"> </w:t>
      </w:r>
      <w:hyperlink r:id="rId1" w:history="1">
        <w:r w:rsidRPr="00310B26">
          <w:rPr>
            <w:rStyle w:val="Hipercze"/>
            <w:rFonts w:ascii="Times New Roman" w:hAnsi="Times New Roman" w:cs="Times New Roman"/>
          </w:rPr>
          <w:t>https://www2.deloitte.com/pl/pl/pages/human-capital/articles/hr-pierwsze-kroki-na-rynku-placy-2018-kadry.html</w:t>
        </w:r>
      </w:hyperlink>
      <w:r w:rsidRPr="00310B26">
        <w:rPr>
          <w:rFonts w:ascii="Times New Roman" w:hAnsi="Times New Roman" w:cs="Times New Roman"/>
        </w:rPr>
        <w:t>.</w:t>
      </w:r>
    </w:p>
  </w:footnote>
  <w:footnote w:id="3">
    <w:p w14:paraId="425BB79C" w14:textId="77777777" w:rsidR="00464781" w:rsidRPr="00310B26" w:rsidRDefault="00464781" w:rsidP="00464781">
      <w:pPr>
        <w:pStyle w:val="Tekstprzypisudolnego"/>
        <w:jc w:val="both"/>
        <w:rPr>
          <w:rFonts w:ascii="Times New Roman" w:hAnsi="Times New Roman" w:cs="Times New Roman"/>
        </w:rPr>
      </w:pPr>
      <w:r w:rsidRPr="00310B26">
        <w:rPr>
          <w:rStyle w:val="Odwoanieprzypisudolnego"/>
          <w:rFonts w:ascii="Times New Roman" w:hAnsi="Times New Roman" w:cs="Times New Roman"/>
        </w:rPr>
        <w:footnoteRef/>
      </w:r>
      <w:r w:rsidRPr="00310B26">
        <w:rPr>
          <w:rFonts w:ascii="Times New Roman" w:hAnsi="Times New Roman" w:cs="Times New Roman"/>
        </w:rPr>
        <w:t xml:space="preserve"> Passim.</w:t>
      </w:r>
    </w:p>
  </w:footnote>
  <w:footnote w:id="4">
    <w:p w14:paraId="461BB986" w14:textId="77777777" w:rsidR="00310B26" w:rsidRPr="00310B26" w:rsidRDefault="00310B26" w:rsidP="00310B26">
      <w:pPr>
        <w:pStyle w:val="Nagwek2"/>
        <w:rPr>
          <w:rFonts w:ascii="Times New Roman" w:hAnsi="Times New Roman" w:cs="Times New Roman"/>
          <w:color w:val="auto"/>
          <w:sz w:val="20"/>
          <w:szCs w:val="20"/>
        </w:rPr>
      </w:pPr>
      <w:r w:rsidRPr="00310B26">
        <w:rPr>
          <w:rStyle w:val="Odwoanieprzypisudolnego"/>
          <w:rFonts w:ascii="Times New Roman" w:hAnsi="Times New Roman" w:cs="Times New Roman"/>
          <w:color w:val="auto"/>
          <w:sz w:val="20"/>
          <w:szCs w:val="20"/>
        </w:rPr>
        <w:footnoteRef/>
      </w:r>
      <w:r w:rsidRPr="00310B26">
        <w:rPr>
          <w:rFonts w:ascii="Times New Roman" w:hAnsi="Times New Roman" w:cs="Times New Roman"/>
          <w:color w:val="auto"/>
          <w:sz w:val="20"/>
          <w:szCs w:val="20"/>
        </w:rPr>
        <w:t xml:space="preserve"> Np. Leja K., </w:t>
      </w:r>
      <w:r w:rsidRPr="00310B26">
        <w:rPr>
          <w:rFonts w:ascii="Times New Roman" w:hAnsi="Times New Roman" w:cs="Times New Roman"/>
          <w:i/>
          <w:color w:val="auto"/>
          <w:sz w:val="20"/>
          <w:szCs w:val="20"/>
        </w:rPr>
        <w:t>Uniwersytet: tradycyjny – przedsiębiorczy – oparty na wiedzy</w:t>
      </w:r>
      <w:r w:rsidRPr="00310B26">
        <w:rPr>
          <w:rFonts w:ascii="Times New Roman" w:hAnsi="Times New Roman" w:cs="Times New Roman"/>
          <w:color w:val="auto"/>
          <w:sz w:val="20"/>
          <w:szCs w:val="20"/>
        </w:rPr>
        <w:t xml:space="preserve">, Nauka i Szkolnictwo Wyższe, nr 2/28/2006; Andrzejczak A., </w:t>
      </w:r>
      <w:r w:rsidRPr="00310B26">
        <w:rPr>
          <w:rFonts w:ascii="Times New Roman" w:hAnsi="Times New Roman" w:cs="Times New Roman"/>
          <w:i/>
          <w:color w:val="auto"/>
          <w:sz w:val="20"/>
          <w:szCs w:val="20"/>
        </w:rPr>
        <w:t>Uniwersytet przedsiębiorczy i odpowiedzialny społecznie</w:t>
      </w:r>
      <w:r w:rsidRPr="00310B26">
        <w:rPr>
          <w:rFonts w:ascii="Times New Roman" w:hAnsi="Times New Roman" w:cs="Times New Roman"/>
          <w:color w:val="auto"/>
          <w:sz w:val="20"/>
          <w:szCs w:val="20"/>
        </w:rPr>
        <w:t xml:space="preserve">, Edukacja Ekonomistów i Menedżerów : problemy, innowacje, projekty, nr 4 (38)/2015; </w:t>
      </w:r>
      <w:proofErr w:type="spellStart"/>
      <w:r w:rsidRPr="00310B26">
        <w:rPr>
          <w:rFonts w:ascii="Times New Roman" w:hAnsi="Times New Roman" w:cs="Times New Roman"/>
          <w:color w:val="auto"/>
          <w:sz w:val="20"/>
          <w:szCs w:val="20"/>
        </w:rPr>
        <w:t>Olearnik</w:t>
      </w:r>
      <w:proofErr w:type="spellEnd"/>
      <w:r w:rsidRPr="00310B26">
        <w:rPr>
          <w:rFonts w:ascii="Times New Roman" w:hAnsi="Times New Roman" w:cs="Times New Roman"/>
          <w:color w:val="auto"/>
          <w:sz w:val="20"/>
          <w:szCs w:val="20"/>
        </w:rPr>
        <w:t xml:space="preserve"> J., </w:t>
      </w:r>
      <w:r w:rsidRPr="00310B26">
        <w:rPr>
          <w:rFonts w:ascii="Times New Roman" w:hAnsi="Times New Roman" w:cs="Times New Roman"/>
          <w:i/>
          <w:color w:val="auto"/>
          <w:sz w:val="20"/>
          <w:szCs w:val="20"/>
        </w:rPr>
        <w:t>Uniwersytet przedsiębiorczy – herezja czy nowa orientacja uczelni?</w:t>
      </w:r>
      <w:r w:rsidRPr="00310B26">
        <w:rPr>
          <w:rFonts w:ascii="Times New Roman" w:hAnsi="Times New Roman" w:cs="Times New Roman"/>
          <w:color w:val="auto"/>
          <w:sz w:val="20"/>
          <w:szCs w:val="20"/>
        </w:rPr>
        <w:t>, Horyzonty Wychowania, vol 15, nr 35/2016.</w:t>
      </w:r>
    </w:p>
  </w:footnote>
  <w:footnote w:id="5">
    <w:p w14:paraId="30A91BE1" w14:textId="77777777" w:rsidR="00310B26" w:rsidRPr="00310B26" w:rsidRDefault="00310B26" w:rsidP="00310B26">
      <w:pPr>
        <w:pStyle w:val="Tekstprzypisudolnego"/>
        <w:jc w:val="both"/>
        <w:rPr>
          <w:rFonts w:ascii="Times New Roman" w:hAnsi="Times New Roman" w:cs="Times New Roman"/>
        </w:rPr>
      </w:pPr>
      <w:r w:rsidRPr="00310B26">
        <w:rPr>
          <w:rStyle w:val="Odwoanieprzypisudolnego"/>
          <w:rFonts w:ascii="Times New Roman" w:hAnsi="Times New Roman" w:cs="Times New Roman"/>
        </w:rPr>
        <w:footnoteRef/>
      </w:r>
      <w:r w:rsidRPr="00310B26">
        <w:rPr>
          <w:rFonts w:ascii="Times New Roman" w:hAnsi="Times New Roman" w:cs="Times New Roman"/>
        </w:rPr>
        <w:t xml:space="preserve"> Na marginesie warto dodać, że </w:t>
      </w:r>
      <w:r w:rsidRPr="00310B26">
        <w:rPr>
          <w:rFonts w:ascii="Times New Roman" w:hAnsi="Times New Roman" w:cs="Times New Roman"/>
          <w:bCs/>
        </w:rPr>
        <w:t>na bazie analiz prowadzonych przez autora w Polsce, jak i w innych krajach europejskich (np. Wielka Brytania, Czechy, Litwa) można wysnuć następujący wniosek: współpraca szkół z pracodawcami jest ograniczona z uwagi na powtarzający się schemat: mianowicie pracodawcy stwierdzają niejednokrotnie, że są zainteresowani współpracą ze szkołami, ale nie wiedzą, do kogo mają się zwrócić, ograniczają ich bariery administracyjne w szkole, narzekają na brak ciągłości działań, jak również na kłopoty komunikacyjne – jednak mimo to zwykle są bardzo zainteresowani współpracą. Podobnie zarządzający szkołami, nauczyciele, szkolni doradcy zawodowi: chętnie współpracowaliby z pracodawcami, ale „nie potrafią z nimi rozmawiać”, nie wiedzą, które osoby po stronie pracobiorców są decydentami w poszczególnych sprawach, nie umieją przekazać istnienia pewnych ograniczeń w sposobie edukacji wynikających m.in. z przepisów prawa.</w:t>
      </w:r>
    </w:p>
  </w:footnote>
  <w:footnote w:id="6">
    <w:p w14:paraId="629F442D" w14:textId="77777777" w:rsidR="00310B26" w:rsidRPr="00310B26" w:rsidRDefault="00310B26" w:rsidP="00310B26">
      <w:pPr>
        <w:pStyle w:val="Tekstprzypisudolnego"/>
        <w:rPr>
          <w:rFonts w:ascii="Times New Roman" w:hAnsi="Times New Roman" w:cs="Times New Roman"/>
        </w:rPr>
      </w:pPr>
      <w:r w:rsidRPr="00310B26">
        <w:rPr>
          <w:rStyle w:val="Odwoanieprzypisudolnego"/>
          <w:rFonts w:ascii="Times New Roman" w:hAnsi="Times New Roman" w:cs="Times New Roman"/>
        </w:rPr>
        <w:footnoteRef/>
      </w:r>
      <w:r w:rsidRPr="00310B26">
        <w:rPr>
          <w:rFonts w:ascii="Times New Roman" w:hAnsi="Times New Roman" w:cs="Times New Roman"/>
        </w:rPr>
        <w:t xml:space="preserve"> Więcej: </w:t>
      </w:r>
      <w:hyperlink r:id="rId2" w:history="1">
        <w:r w:rsidRPr="00310B26">
          <w:rPr>
            <w:rStyle w:val="Hipercze"/>
            <w:rFonts w:ascii="Times New Roman" w:hAnsi="Times New Roman" w:cs="Times New Roman"/>
          </w:rPr>
          <w:t>https://www.think.org.pl/projekty/dzialania/206-przestrzenie-edukacji</w:t>
        </w:r>
      </w:hyperlink>
      <w:r w:rsidRPr="00310B26">
        <w:rPr>
          <w:rFonts w:ascii="Times New Roman" w:hAnsi="Times New Roman" w:cs="Times New Roman"/>
        </w:rPr>
        <w:t xml:space="preserve"> [dostęp: 29 czerwca 2018].</w:t>
      </w:r>
    </w:p>
  </w:footnote>
  <w:footnote w:id="7">
    <w:p w14:paraId="13077074" w14:textId="77777777" w:rsidR="00310B26" w:rsidRPr="00310B26" w:rsidRDefault="00310B26" w:rsidP="00310B26">
      <w:pPr>
        <w:pStyle w:val="Tekstprzypisudolnego"/>
        <w:jc w:val="both"/>
        <w:rPr>
          <w:rFonts w:ascii="Times New Roman" w:hAnsi="Times New Roman" w:cs="Times New Roman"/>
        </w:rPr>
      </w:pPr>
      <w:r w:rsidRPr="00310B26">
        <w:rPr>
          <w:rStyle w:val="Odwoanieprzypisudolnego"/>
          <w:rFonts w:ascii="Times New Roman" w:hAnsi="Times New Roman" w:cs="Times New Roman"/>
        </w:rPr>
        <w:footnoteRef/>
      </w:r>
      <w:r w:rsidRPr="00310B26">
        <w:rPr>
          <w:rFonts w:ascii="Times New Roman" w:hAnsi="Times New Roman" w:cs="Times New Roman"/>
        </w:rPr>
        <w:t xml:space="preserve"> Juchnowicz M. (red.), </w:t>
      </w:r>
      <w:r w:rsidRPr="00310B26">
        <w:rPr>
          <w:rFonts w:ascii="Times New Roman" w:hAnsi="Times New Roman" w:cs="Times New Roman"/>
          <w:i/>
        </w:rPr>
        <w:t>Elastyczne zarządzanie kapitałem ludzkim z perspektywy interesariuszy,</w:t>
      </w:r>
      <w:r w:rsidRPr="00310B26">
        <w:rPr>
          <w:rFonts w:ascii="Times New Roman" w:hAnsi="Times New Roman" w:cs="Times New Roman"/>
        </w:rPr>
        <w:t xml:space="preserve"> Polskie Wydawnictwo Ekonomiczne, Warszawa 2016, s.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638A"/>
    <w:multiLevelType w:val="multilevel"/>
    <w:tmpl w:val="E86C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24F69"/>
    <w:multiLevelType w:val="hybridMultilevel"/>
    <w:tmpl w:val="5A94707A"/>
    <w:lvl w:ilvl="0" w:tplc="79CC1928">
      <w:start w:val="1"/>
      <w:numFmt w:val="bullet"/>
      <w:lvlText w:val="•"/>
      <w:lvlJc w:val="left"/>
      <w:pPr>
        <w:tabs>
          <w:tab w:val="num" w:pos="720"/>
        </w:tabs>
        <w:ind w:left="720" w:hanging="360"/>
      </w:pPr>
      <w:rPr>
        <w:rFonts w:ascii="Arial" w:hAnsi="Arial" w:hint="default"/>
      </w:rPr>
    </w:lvl>
    <w:lvl w:ilvl="1" w:tplc="7ADA9E10" w:tentative="1">
      <w:start w:val="1"/>
      <w:numFmt w:val="bullet"/>
      <w:lvlText w:val="•"/>
      <w:lvlJc w:val="left"/>
      <w:pPr>
        <w:tabs>
          <w:tab w:val="num" w:pos="1440"/>
        </w:tabs>
        <w:ind w:left="1440" w:hanging="360"/>
      </w:pPr>
      <w:rPr>
        <w:rFonts w:ascii="Arial" w:hAnsi="Arial" w:hint="default"/>
      </w:rPr>
    </w:lvl>
    <w:lvl w:ilvl="2" w:tplc="36E43FAE" w:tentative="1">
      <w:start w:val="1"/>
      <w:numFmt w:val="bullet"/>
      <w:lvlText w:val="•"/>
      <w:lvlJc w:val="left"/>
      <w:pPr>
        <w:tabs>
          <w:tab w:val="num" w:pos="2160"/>
        </w:tabs>
        <w:ind w:left="2160" w:hanging="360"/>
      </w:pPr>
      <w:rPr>
        <w:rFonts w:ascii="Arial" w:hAnsi="Arial" w:hint="default"/>
      </w:rPr>
    </w:lvl>
    <w:lvl w:ilvl="3" w:tplc="86FCFFC8" w:tentative="1">
      <w:start w:val="1"/>
      <w:numFmt w:val="bullet"/>
      <w:lvlText w:val="•"/>
      <w:lvlJc w:val="left"/>
      <w:pPr>
        <w:tabs>
          <w:tab w:val="num" w:pos="2880"/>
        </w:tabs>
        <w:ind w:left="2880" w:hanging="360"/>
      </w:pPr>
      <w:rPr>
        <w:rFonts w:ascii="Arial" w:hAnsi="Arial" w:hint="default"/>
      </w:rPr>
    </w:lvl>
    <w:lvl w:ilvl="4" w:tplc="4330E396" w:tentative="1">
      <w:start w:val="1"/>
      <w:numFmt w:val="bullet"/>
      <w:lvlText w:val="•"/>
      <w:lvlJc w:val="left"/>
      <w:pPr>
        <w:tabs>
          <w:tab w:val="num" w:pos="3600"/>
        </w:tabs>
        <w:ind w:left="3600" w:hanging="360"/>
      </w:pPr>
      <w:rPr>
        <w:rFonts w:ascii="Arial" w:hAnsi="Arial" w:hint="default"/>
      </w:rPr>
    </w:lvl>
    <w:lvl w:ilvl="5" w:tplc="9EC8F58E" w:tentative="1">
      <w:start w:val="1"/>
      <w:numFmt w:val="bullet"/>
      <w:lvlText w:val="•"/>
      <w:lvlJc w:val="left"/>
      <w:pPr>
        <w:tabs>
          <w:tab w:val="num" w:pos="4320"/>
        </w:tabs>
        <w:ind w:left="4320" w:hanging="360"/>
      </w:pPr>
      <w:rPr>
        <w:rFonts w:ascii="Arial" w:hAnsi="Arial" w:hint="default"/>
      </w:rPr>
    </w:lvl>
    <w:lvl w:ilvl="6" w:tplc="E098E994" w:tentative="1">
      <w:start w:val="1"/>
      <w:numFmt w:val="bullet"/>
      <w:lvlText w:val="•"/>
      <w:lvlJc w:val="left"/>
      <w:pPr>
        <w:tabs>
          <w:tab w:val="num" w:pos="5040"/>
        </w:tabs>
        <w:ind w:left="5040" w:hanging="360"/>
      </w:pPr>
      <w:rPr>
        <w:rFonts w:ascii="Arial" w:hAnsi="Arial" w:hint="default"/>
      </w:rPr>
    </w:lvl>
    <w:lvl w:ilvl="7" w:tplc="750607A0" w:tentative="1">
      <w:start w:val="1"/>
      <w:numFmt w:val="bullet"/>
      <w:lvlText w:val="•"/>
      <w:lvlJc w:val="left"/>
      <w:pPr>
        <w:tabs>
          <w:tab w:val="num" w:pos="5760"/>
        </w:tabs>
        <w:ind w:left="5760" w:hanging="360"/>
      </w:pPr>
      <w:rPr>
        <w:rFonts w:ascii="Arial" w:hAnsi="Arial" w:hint="default"/>
      </w:rPr>
    </w:lvl>
    <w:lvl w:ilvl="8" w:tplc="BE6CCE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1425AD"/>
    <w:multiLevelType w:val="hybridMultilevel"/>
    <w:tmpl w:val="2F7E56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C4E07F3"/>
    <w:multiLevelType w:val="hybridMultilevel"/>
    <w:tmpl w:val="4412CA5C"/>
    <w:lvl w:ilvl="0" w:tplc="B05C6568">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04582A"/>
    <w:multiLevelType w:val="hybridMultilevel"/>
    <w:tmpl w:val="103C0E06"/>
    <w:lvl w:ilvl="0" w:tplc="B05C656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3747D4E"/>
    <w:multiLevelType w:val="hybridMultilevel"/>
    <w:tmpl w:val="5CFEE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5A3C56"/>
    <w:multiLevelType w:val="hybridMultilevel"/>
    <w:tmpl w:val="F404FA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7C0B0C91"/>
    <w:multiLevelType w:val="hybridMultilevel"/>
    <w:tmpl w:val="A7063ECC"/>
    <w:lvl w:ilvl="0" w:tplc="E5EAC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27444317">
    <w:abstractNumId w:val="4"/>
  </w:num>
  <w:num w:numId="2" w16cid:durableId="1188373271">
    <w:abstractNumId w:val="5"/>
  </w:num>
  <w:num w:numId="3" w16cid:durableId="534125275">
    <w:abstractNumId w:val="6"/>
  </w:num>
  <w:num w:numId="4" w16cid:durableId="851649711">
    <w:abstractNumId w:val="1"/>
  </w:num>
  <w:num w:numId="5" w16cid:durableId="1398550661">
    <w:abstractNumId w:val="3"/>
  </w:num>
  <w:num w:numId="6" w16cid:durableId="1917400075">
    <w:abstractNumId w:val="0"/>
  </w:num>
  <w:num w:numId="7" w16cid:durableId="1338654270">
    <w:abstractNumId w:val="8"/>
  </w:num>
  <w:num w:numId="8" w16cid:durableId="971788336">
    <w:abstractNumId w:val="7"/>
  </w:num>
  <w:num w:numId="9" w16cid:durableId="581332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FC"/>
    <w:rsid w:val="000933F1"/>
    <w:rsid w:val="000A7B16"/>
    <w:rsid w:val="000B2FD5"/>
    <w:rsid w:val="000B39F4"/>
    <w:rsid w:val="000D42AD"/>
    <w:rsid w:val="00106848"/>
    <w:rsid w:val="00140511"/>
    <w:rsid w:val="00152B47"/>
    <w:rsid w:val="001549EC"/>
    <w:rsid w:val="00156875"/>
    <w:rsid w:val="001770AF"/>
    <w:rsid w:val="001A4FB5"/>
    <w:rsid w:val="001B3CC1"/>
    <w:rsid w:val="001D6CFC"/>
    <w:rsid w:val="001F79F6"/>
    <w:rsid w:val="00214BF7"/>
    <w:rsid w:val="00252E35"/>
    <w:rsid w:val="00265A1F"/>
    <w:rsid w:val="0029287D"/>
    <w:rsid w:val="002948DE"/>
    <w:rsid w:val="002D1907"/>
    <w:rsid w:val="002F4138"/>
    <w:rsid w:val="00310B26"/>
    <w:rsid w:val="00312CBC"/>
    <w:rsid w:val="003139BB"/>
    <w:rsid w:val="003661FD"/>
    <w:rsid w:val="00367CB8"/>
    <w:rsid w:val="00370AD8"/>
    <w:rsid w:val="00387249"/>
    <w:rsid w:val="003A08FC"/>
    <w:rsid w:val="003C0DB2"/>
    <w:rsid w:val="003C120B"/>
    <w:rsid w:val="003C6274"/>
    <w:rsid w:val="003F0FC1"/>
    <w:rsid w:val="00400DCA"/>
    <w:rsid w:val="00423C50"/>
    <w:rsid w:val="00443DB2"/>
    <w:rsid w:val="00464781"/>
    <w:rsid w:val="00467D45"/>
    <w:rsid w:val="00483987"/>
    <w:rsid w:val="004A0937"/>
    <w:rsid w:val="004A2122"/>
    <w:rsid w:val="004D1C7F"/>
    <w:rsid w:val="004E0ED8"/>
    <w:rsid w:val="004E4BCF"/>
    <w:rsid w:val="005203E3"/>
    <w:rsid w:val="005271E2"/>
    <w:rsid w:val="00542CB0"/>
    <w:rsid w:val="005951C7"/>
    <w:rsid w:val="005B0EF6"/>
    <w:rsid w:val="005C6883"/>
    <w:rsid w:val="005D6E09"/>
    <w:rsid w:val="005E48D4"/>
    <w:rsid w:val="005E748D"/>
    <w:rsid w:val="00625A7B"/>
    <w:rsid w:val="0067156A"/>
    <w:rsid w:val="006C4B42"/>
    <w:rsid w:val="006D02A0"/>
    <w:rsid w:val="0079425D"/>
    <w:rsid w:val="007B0295"/>
    <w:rsid w:val="007F0F18"/>
    <w:rsid w:val="00896591"/>
    <w:rsid w:val="008A0C3E"/>
    <w:rsid w:val="008A7028"/>
    <w:rsid w:val="008D7DD3"/>
    <w:rsid w:val="008E749A"/>
    <w:rsid w:val="00921969"/>
    <w:rsid w:val="00930C3A"/>
    <w:rsid w:val="00983DC9"/>
    <w:rsid w:val="0099331F"/>
    <w:rsid w:val="009D79DB"/>
    <w:rsid w:val="009F2106"/>
    <w:rsid w:val="00A3014A"/>
    <w:rsid w:val="00A53FC0"/>
    <w:rsid w:val="00AB2A93"/>
    <w:rsid w:val="00AD25B4"/>
    <w:rsid w:val="00AD750A"/>
    <w:rsid w:val="00AD791B"/>
    <w:rsid w:val="00AE12DC"/>
    <w:rsid w:val="00AE321A"/>
    <w:rsid w:val="00AE7A22"/>
    <w:rsid w:val="00AF1184"/>
    <w:rsid w:val="00AF5267"/>
    <w:rsid w:val="00B147F6"/>
    <w:rsid w:val="00B74CC4"/>
    <w:rsid w:val="00B976D9"/>
    <w:rsid w:val="00BA1E33"/>
    <w:rsid w:val="00BC0A8E"/>
    <w:rsid w:val="00BE74D0"/>
    <w:rsid w:val="00C15AEE"/>
    <w:rsid w:val="00C310C0"/>
    <w:rsid w:val="00C34863"/>
    <w:rsid w:val="00C946D0"/>
    <w:rsid w:val="00CC1494"/>
    <w:rsid w:val="00D36611"/>
    <w:rsid w:val="00DA771D"/>
    <w:rsid w:val="00DC4E7F"/>
    <w:rsid w:val="00DD1AE2"/>
    <w:rsid w:val="00DD2F66"/>
    <w:rsid w:val="00E37B04"/>
    <w:rsid w:val="00EA7CC7"/>
    <w:rsid w:val="00EC407A"/>
    <w:rsid w:val="00ED39C8"/>
    <w:rsid w:val="00EF301F"/>
    <w:rsid w:val="00F30B99"/>
    <w:rsid w:val="00F6171D"/>
    <w:rsid w:val="00F676E9"/>
    <w:rsid w:val="00F717B4"/>
    <w:rsid w:val="00F72B64"/>
    <w:rsid w:val="00F742C5"/>
    <w:rsid w:val="00FA03EF"/>
    <w:rsid w:val="00FA0C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4E7F"/>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Tekst przypisu dolnego1,Podrozdział, Znak,Tekst przypisu dolnego Znak2,Znak Znak1,Znak Znak Znak Znak Znak Znak1,Znak Znak Znak Znak Znak2,Znak Znak Znak Znak Znak Znak Znak Znak Znak1,Znak Znak Znak Znak Znak Znak Znak Znak2,Znak"/>
    <w:basedOn w:val="Normalny"/>
    <w:link w:val="TekstprzypisudolnegoZnak"/>
    <w:uiPriority w:val="99"/>
    <w:unhideWhenUsed/>
    <w:qFormat/>
    <w:rsid w:val="003A08FC"/>
    <w:pPr>
      <w:spacing w:after="0" w:line="240" w:lineRule="auto"/>
    </w:pPr>
    <w:rPr>
      <w:sz w:val="20"/>
      <w:szCs w:val="20"/>
    </w:rPr>
  </w:style>
  <w:style w:type="character" w:customStyle="1" w:styleId="TekstprzypisudolnegoZnak">
    <w:name w:val="Tekst przypisu dolnego Znak"/>
    <w:aliases w:val="Tekst przypisu dolnego1 Znak,Podrozdział Znak, Znak Znak,Tekst przypisu dolnego Znak2 Znak,Znak Znak1 Znak,Znak Znak Znak Znak Znak Znak1 Znak,Znak Znak Znak Znak Znak2 Znak,Znak Znak Znak Znak Znak Znak Znak Znak Znak1 Znak"/>
    <w:basedOn w:val="Domylnaczcionkaakapitu"/>
    <w:link w:val="Tekstprzypisudolnego"/>
    <w:uiPriority w:val="99"/>
    <w:rsid w:val="003A08FC"/>
    <w:rPr>
      <w:sz w:val="20"/>
      <w:szCs w:val="20"/>
    </w:rPr>
  </w:style>
  <w:style w:type="character" w:styleId="Odwoanieprzypisudolnego">
    <w:name w:val="footnote reference"/>
    <w:aliases w:val="16 Point,Superscript 6 Point,Footnote Reference Number,Footnote Reference Superscript,BVI fnr,Footnote symbol,SUPERS,(Footnote Reference),Footnote,Voetnootverwijzing,Times 10 Point,Exposant 3 Point,note TESI,FR,OZNAKA OPOMBE"/>
    <w:basedOn w:val="Domylnaczcionkaakapitu"/>
    <w:link w:val="FootnotesymbolCarZchn"/>
    <w:uiPriority w:val="99"/>
    <w:unhideWhenUsed/>
    <w:qFormat/>
    <w:rsid w:val="003A08FC"/>
    <w:rPr>
      <w:vertAlign w:val="superscript"/>
    </w:rPr>
  </w:style>
  <w:style w:type="character" w:styleId="Hipercze">
    <w:name w:val="Hyperlink"/>
    <w:basedOn w:val="Domylnaczcionkaakapitu"/>
    <w:uiPriority w:val="99"/>
    <w:unhideWhenUsed/>
    <w:rsid w:val="008A7028"/>
    <w:rPr>
      <w:color w:val="0563C1" w:themeColor="hyperlink"/>
      <w:u w:val="single"/>
    </w:rPr>
  </w:style>
  <w:style w:type="character" w:customStyle="1" w:styleId="addmd">
    <w:name w:val="addmd"/>
    <w:basedOn w:val="Domylnaczcionkaakapitu"/>
    <w:rsid w:val="008A7028"/>
  </w:style>
  <w:style w:type="character" w:styleId="HTML-cytat">
    <w:name w:val="HTML Cite"/>
    <w:basedOn w:val="Domylnaczcionkaakapitu"/>
    <w:uiPriority w:val="99"/>
    <w:semiHidden/>
    <w:unhideWhenUsed/>
    <w:rsid w:val="008A7028"/>
    <w:rPr>
      <w:i/>
      <w:iCs/>
    </w:rPr>
  </w:style>
  <w:style w:type="paragraph" w:customStyle="1" w:styleId="Default">
    <w:name w:val="Default"/>
    <w:rsid w:val="00423C50"/>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AE7A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7A22"/>
    <w:rPr>
      <w:sz w:val="20"/>
      <w:szCs w:val="20"/>
    </w:rPr>
  </w:style>
  <w:style w:type="character" w:styleId="Odwoanieprzypisukocowego">
    <w:name w:val="endnote reference"/>
    <w:basedOn w:val="Domylnaczcionkaakapitu"/>
    <w:uiPriority w:val="99"/>
    <w:semiHidden/>
    <w:unhideWhenUsed/>
    <w:rsid w:val="00AE7A22"/>
    <w:rPr>
      <w:vertAlign w:val="superscript"/>
    </w:rPr>
  </w:style>
  <w:style w:type="paragraph" w:customStyle="1" w:styleId="StylStyl1Pierwszywiersz1cm">
    <w:name w:val="Styl Styl1 + Pierwszy wiersz:  1 cm"/>
    <w:basedOn w:val="Normalny"/>
    <w:link w:val="StylStyl1Pierwszywiersz1cmZnak"/>
    <w:autoRedefine/>
    <w:qFormat/>
    <w:rsid w:val="00F742C5"/>
    <w:pPr>
      <w:tabs>
        <w:tab w:val="left" w:pos="567"/>
        <w:tab w:val="left" w:pos="6541"/>
      </w:tabs>
      <w:spacing w:after="120" w:line="360" w:lineRule="auto"/>
      <w:ind w:left="360"/>
      <w:jc w:val="both"/>
    </w:pPr>
    <w:rPr>
      <w:rFonts w:ascii="Times New Roman" w:eastAsia="Times New Roman" w:hAnsi="Times New Roman" w:cs="Times New Roman"/>
      <w:sz w:val="24"/>
      <w:szCs w:val="20"/>
      <w:lang w:eastAsia="pl-PL"/>
    </w:rPr>
  </w:style>
  <w:style w:type="character" w:customStyle="1" w:styleId="StylStyl1Pierwszywiersz1cmZnak">
    <w:name w:val="Styl Styl1 + Pierwszy wiersz:  1 cm Znak"/>
    <w:link w:val="StylStyl1Pierwszywiersz1cm"/>
    <w:rsid w:val="00F742C5"/>
    <w:rPr>
      <w:rFonts w:ascii="Times New Roman" w:eastAsia="Times New Roman" w:hAnsi="Times New Roman" w:cs="Times New Roman"/>
      <w:sz w:val="24"/>
      <w:szCs w:val="20"/>
      <w:lang w:eastAsia="pl-P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F742C5"/>
    <w:pPr>
      <w:spacing w:line="240" w:lineRule="exact"/>
      <w:jc w:val="both"/>
    </w:pPr>
    <w:rPr>
      <w:vertAlign w:val="superscript"/>
    </w:rPr>
  </w:style>
  <w:style w:type="character" w:customStyle="1" w:styleId="jlqj4b">
    <w:name w:val="jlqj4b"/>
    <w:basedOn w:val="Domylnaczcionkaakapitu"/>
    <w:rsid w:val="00F742C5"/>
  </w:style>
  <w:style w:type="character" w:customStyle="1" w:styleId="A5">
    <w:name w:val="A5"/>
    <w:uiPriority w:val="99"/>
    <w:rsid w:val="00214BF7"/>
    <w:rPr>
      <w:rFonts w:cs="Revivl555EU"/>
      <w:color w:val="000000"/>
      <w:sz w:val="13"/>
      <w:szCs w:val="13"/>
    </w:rPr>
  </w:style>
  <w:style w:type="character" w:styleId="Pogrubienie">
    <w:name w:val="Strong"/>
    <w:basedOn w:val="Domylnaczcionkaakapitu"/>
    <w:uiPriority w:val="22"/>
    <w:qFormat/>
    <w:rsid w:val="00EF301F"/>
    <w:rPr>
      <w:b/>
      <w:bCs/>
    </w:rPr>
  </w:style>
  <w:style w:type="paragraph" w:styleId="NormalnyWeb">
    <w:name w:val="Normal (Web)"/>
    <w:basedOn w:val="Normalny"/>
    <w:uiPriority w:val="99"/>
    <w:unhideWhenUsed/>
    <w:rsid w:val="00443DB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ti">
    <w:name w:val="doc-ti"/>
    <w:basedOn w:val="Normalny"/>
    <w:rsid w:val="00BE74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reference-text">
    <w:name w:val="reference-text"/>
    <w:basedOn w:val="Domylnaczcionkaakapitu"/>
    <w:rsid w:val="00BE74D0"/>
  </w:style>
  <w:style w:type="character" w:styleId="Nierozpoznanawzmianka">
    <w:name w:val="Unresolved Mention"/>
    <w:basedOn w:val="Domylnaczcionkaakapitu"/>
    <w:uiPriority w:val="99"/>
    <w:semiHidden/>
    <w:unhideWhenUsed/>
    <w:rsid w:val="00FA0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99063">
      <w:bodyDiv w:val="1"/>
      <w:marLeft w:val="0"/>
      <w:marRight w:val="0"/>
      <w:marTop w:val="0"/>
      <w:marBottom w:val="0"/>
      <w:divBdr>
        <w:top w:val="none" w:sz="0" w:space="0" w:color="auto"/>
        <w:left w:val="none" w:sz="0" w:space="0" w:color="auto"/>
        <w:bottom w:val="none" w:sz="0" w:space="0" w:color="auto"/>
        <w:right w:val="none" w:sz="0" w:space="0" w:color="auto"/>
      </w:divBdr>
    </w:div>
    <w:div w:id="764427345">
      <w:bodyDiv w:val="1"/>
      <w:marLeft w:val="0"/>
      <w:marRight w:val="0"/>
      <w:marTop w:val="0"/>
      <w:marBottom w:val="0"/>
      <w:divBdr>
        <w:top w:val="none" w:sz="0" w:space="0" w:color="auto"/>
        <w:left w:val="none" w:sz="0" w:space="0" w:color="auto"/>
        <w:bottom w:val="none" w:sz="0" w:space="0" w:color="auto"/>
        <w:right w:val="none" w:sz="0" w:space="0" w:color="auto"/>
      </w:divBdr>
      <w:divsChild>
        <w:div w:id="489836120">
          <w:marLeft w:val="446"/>
          <w:marRight w:val="0"/>
          <w:marTop w:val="120"/>
          <w:marBottom w:val="0"/>
          <w:divBdr>
            <w:top w:val="none" w:sz="0" w:space="0" w:color="auto"/>
            <w:left w:val="none" w:sz="0" w:space="0" w:color="auto"/>
            <w:bottom w:val="none" w:sz="0" w:space="0" w:color="auto"/>
            <w:right w:val="none" w:sz="0" w:space="0" w:color="auto"/>
          </w:divBdr>
        </w:div>
      </w:divsChild>
    </w:div>
    <w:div w:id="875654621">
      <w:bodyDiv w:val="1"/>
      <w:marLeft w:val="0"/>
      <w:marRight w:val="0"/>
      <w:marTop w:val="0"/>
      <w:marBottom w:val="0"/>
      <w:divBdr>
        <w:top w:val="none" w:sz="0" w:space="0" w:color="auto"/>
        <w:left w:val="none" w:sz="0" w:space="0" w:color="auto"/>
        <w:bottom w:val="none" w:sz="0" w:space="0" w:color="auto"/>
        <w:right w:val="none" w:sz="0" w:space="0" w:color="auto"/>
      </w:divBdr>
    </w:div>
    <w:div w:id="1261451861">
      <w:bodyDiv w:val="1"/>
      <w:marLeft w:val="0"/>
      <w:marRight w:val="0"/>
      <w:marTop w:val="0"/>
      <w:marBottom w:val="0"/>
      <w:divBdr>
        <w:top w:val="none" w:sz="0" w:space="0" w:color="auto"/>
        <w:left w:val="none" w:sz="0" w:space="0" w:color="auto"/>
        <w:bottom w:val="none" w:sz="0" w:space="0" w:color="auto"/>
        <w:right w:val="none" w:sz="0" w:space="0" w:color="auto"/>
      </w:divBdr>
      <w:divsChild>
        <w:div w:id="636302235">
          <w:marLeft w:val="446"/>
          <w:marRight w:val="0"/>
          <w:marTop w:val="120"/>
          <w:marBottom w:val="0"/>
          <w:divBdr>
            <w:top w:val="none" w:sz="0" w:space="0" w:color="auto"/>
            <w:left w:val="none" w:sz="0" w:space="0" w:color="auto"/>
            <w:bottom w:val="none" w:sz="0" w:space="0" w:color="auto"/>
            <w:right w:val="none" w:sz="0" w:space="0" w:color="auto"/>
          </w:divBdr>
        </w:div>
        <w:div w:id="1086654699">
          <w:marLeft w:val="446"/>
          <w:marRight w:val="0"/>
          <w:marTop w:val="120"/>
          <w:marBottom w:val="0"/>
          <w:divBdr>
            <w:top w:val="none" w:sz="0" w:space="0" w:color="auto"/>
            <w:left w:val="none" w:sz="0" w:space="0" w:color="auto"/>
            <w:bottom w:val="none" w:sz="0" w:space="0" w:color="auto"/>
            <w:right w:val="none" w:sz="0" w:space="0" w:color="auto"/>
          </w:divBdr>
        </w:div>
        <w:div w:id="1051418064">
          <w:marLeft w:val="446"/>
          <w:marRight w:val="0"/>
          <w:marTop w:val="120"/>
          <w:marBottom w:val="0"/>
          <w:divBdr>
            <w:top w:val="none" w:sz="0" w:space="0" w:color="auto"/>
            <w:left w:val="none" w:sz="0" w:space="0" w:color="auto"/>
            <w:bottom w:val="none" w:sz="0" w:space="0" w:color="auto"/>
            <w:right w:val="none" w:sz="0" w:space="0" w:color="auto"/>
          </w:divBdr>
        </w:div>
        <w:div w:id="2028679063">
          <w:marLeft w:val="446"/>
          <w:marRight w:val="0"/>
          <w:marTop w:val="120"/>
          <w:marBottom w:val="0"/>
          <w:divBdr>
            <w:top w:val="none" w:sz="0" w:space="0" w:color="auto"/>
            <w:left w:val="none" w:sz="0" w:space="0" w:color="auto"/>
            <w:bottom w:val="none" w:sz="0" w:space="0" w:color="auto"/>
            <w:right w:val="none" w:sz="0" w:space="0" w:color="auto"/>
          </w:divBdr>
        </w:div>
        <w:div w:id="789322591">
          <w:marLeft w:val="446"/>
          <w:marRight w:val="0"/>
          <w:marTop w:val="120"/>
          <w:marBottom w:val="0"/>
          <w:divBdr>
            <w:top w:val="none" w:sz="0" w:space="0" w:color="auto"/>
            <w:left w:val="none" w:sz="0" w:space="0" w:color="auto"/>
            <w:bottom w:val="none" w:sz="0" w:space="0" w:color="auto"/>
            <w:right w:val="none" w:sz="0" w:space="0" w:color="auto"/>
          </w:divBdr>
        </w:div>
        <w:div w:id="344867271">
          <w:marLeft w:val="446"/>
          <w:marRight w:val="0"/>
          <w:marTop w:val="120"/>
          <w:marBottom w:val="0"/>
          <w:divBdr>
            <w:top w:val="none" w:sz="0" w:space="0" w:color="auto"/>
            <w:left w:val="none" w:sz="0" w:space="0" w:color="auto"/>
            <w:bottom w:val="none" w:sz="0" w:space="0" w:color="auto"/>
            <w:right w:val="none" w:sz="0" w:space="0" w:color="auto"/>
          </w:divBdr>
        </w:div>
        <w:div w:id="1313872990">
          <w:marLeft w:val="446"/>
          <w:marRight w:val="0"/>
          <w:marTop w:val="120"/>
          <w:marBottom w:val="0"/>
          <w:divBdr>
            <w:top w:val="none" w:sz="0" w:space="0" w:color="auto"/>
            <w:left w:val="none" w:sz="0" w:space="0" w:color="auto"/>
            <w:bottom w:val="none" w:sz="0" w:space="0" w:color="auto"/>
            <w:right w:val="none" w:sz="0" w:space="0" w:color="auto"/>
          </w:divBdr>
        </w:div>
        <w:div w:id="497697227">
          <w:marLeft w:val="0"/>
          <w:marRight w:val="0"/>
          <w:marTop w:val="0"/>
          <w:marBottom w:val="120"/>
          <w:divBdr>
            <w:top w:val="none" w:sz="0" w:space="0" w:color="auto"/>
            <w:left w:val="none" w:sz="0" w:space="0" w:color="auto"/>
            <w:bottom w:val="none" w:sz="0" w:space="0" w:color="auto"/>
            <w:right w:val="none" w:sz="0" w:space="0" w:color="auto"/>
          </w:divBdr>
        </w:div>
        <w:div w:id="1089502738">
          <w:marLeft w:val="720"/>
          <w:marRight w:val="0"/>
          <w:marTop w:val="0"/>
          <w:marBottom w:val="120"/>
          <w:divBdr>
            <w:top w:val="none" w:sz="0" w:space="0" w:color="auto"/>
            <w:left w:val="none" w:sz="0" w:space="0" w:color="auto"/>
            <w:bottom w:val="none" w:sz="0" w:space="0" w:color="auto"/>
            <w:right w:val="none" w:sz="0" w:space="0" w:color="auto"/>
          </w:divBdr>
        </w:div>
        <w:div w:id="1825245388">
          <w:marLeft w:val="720"/>
          <w:marRight w:val="0"/>
          <w:marTop w:val="0"/>
          <w:marBottom w:val="120"/>
          <w:divBdr>
            <w:top w:val="none" w:sz="0" w:space="0" w:color="auto"/>
            <w:left w:val="none" w:sz="0" w:space="0" w:color="auto"/>
            <w:bottom w:val="none" w:sz="0" w:space="0" w:color="auto"/>
            <w:right w:val="none" w:sz="0" w:space="0" w:color="auto"/>
          </w:divBdr>
        </w:div>
        <w:div w:id="1648893962">
          <w:marLeft w:val="720"/>
          <w:marRight w:val="0"/>
          <w:marTop w:val="0"/>
          <w:marBottom w:val="120"/>
          <w:divBdr>
            <w:top w:val="none" w:sz="0" w:space="0" w:color="auto"/>
            <w:left w:val="none" w:sz="0" w:space="0" w:color="auto"/>
            <w:bottom w:val="none" w:sz="0" w:space="0" w:color="auto"/>
            <w:right w:val="none" w:sz="0" w:space="0" w:color="auto"/>
          </w:divBdr>
        </w:div>
        <w:div w:id="1597127807">
          <w:marLeft w:val="720"/>
          <w:marRight w:val="0"/>
          <w:marTop w:val="0"/>
          <w:marBottom w:val="120"/>
          <w:divBdr>
            <w:top w:val="none" w:sz="0" w:space="0" w:color="auto"/>
            <w:left w:val="none" w:sz="0" w:space="0" w:color="auto"/>
            <w:bottom w:val="none" w:sz="0" w:space="0" w:color="auto"/>
            <w:right w:val="none" w:sz="0" w:space="0" w:color="auto"/>
          </w:divBdr>
        </w:div>
        <w:div w:id="701712688">
          <w:marLeft w:val="720"/>
          <w:marRight w:val="0"/>
          <w:marTop w:val="0"/>
          <w:marBottom w:val="120"/>
          <w:divBdr>
            <w:top w:val="none" w:sz="0" w:space="0" w:color="auto"/>
            <w:left w:val="none" w:sz="0" w:space="0" w:color="auto"/>
            <w:bottom w:val="none" w:sz="0" w:space="0" w:color="auto"/>
            <w:right w:val="none" w:sz="0" w:space="0" w:color="auto"/>
          </w:divBdr>
        </w:div>
      </w:divsChild>
    </w:div>
    <w:div w:id="1357152157">
      <w:bodyDiv w:val="1"/>
      <w:marLeft w:val="0"/>
      <w:marRight w:val="0"/>
      <w:marTop w:val="0"/>
      <w:marBottom w:val="0"/>
      <w:divBdr>
        <w:top w:val="none" w:sz="0" w:space="0" w:color="auto"/>
        <w:left w:val="none" w:sz="0" w:space="0" w:color="auto"/>
        <w:bottom w:val="none" w:sz="0" w:space="0" w:color="auto"/>
        <w:right w:val="none" w:sz="0" w:space="0" w:color="auto"/>
      </w:divBdr>
    </w:div>
    <w:div w:id="1396078488">
      <w:bodyDiv w:val="1"/>
      <w:marLeft w:val="0"/>
      <w:marRight w:val="0"/>
      <w:marTop w:val="0"/>
      <w:marBottom w:val="0"/>
      <w:divBdr>
        <w:top w:val="none" w:sz="0" w:space="0" w:color="auto"/>
        <w:left w:val="none" w:sz="0" w:space="0" w:color="auto"/>
        <w:bottom w:val="none" w:sz="0" w:space="0" w:color="auto"/>
        <w:right w:val="none" w:sz="0" w:space="0" w:color="auto"/>
      </w:divBdr>
    </w:div>
    <w:div w:id="1796874605">
      <w:bodyDiv w:val="1"/>
      <w:marLeft w:val="0"/>
      <w:marRight w:val="0"/>
      <w:marTop w:val="0"/>
      <w:marBottom w:val="0"/>
      <w:divBdr>
        <w:top w:val="none" w:sz="0" w:space="0" w:color="auto"/>
        <w:left w:val="none" w:sz="0" w:space="0" w:color="auto"/>
        <w:bottom w:val="none" w:sz="0" w:space="0" w:color="auto"/>
        <w:right w:val="none" w:sz="0" w:space="0" w:color="auto"/>
      </w:divBdr>
    </w:div>
    <w:div w:id="213597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nk.org.pl/projekty/dzialania/206-przestrzenie-edukacj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2.deloitte.com/pl/pl/pages/human-capital/articles/hr-pierwsze-kroki-na-rynku-placy-2018-kadry.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think.org.pl/projekty/dzialania/206-przestrzenie-edukacji" TargetMode="External"/><Relationship Id="rId1" Type="http://schemas.openxmlformats.org/officeDocument/2006/relationships/hyperlink" Target="https://www2.deloitte.com/pl/pl/pages/human-capital/articles/hr-pierwsze-kroki-na-rynku-placy-2018-kadry.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D5A9B-90EF-4C51-B3BB-251EEF88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1106</Words>
  <Characters>6642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Dariusz Danilewicz</cp:lastModifiedBy>
  <cp:revision>2</cp:revision>
  <dcterms:created xsi:type="dcterms:W3CDTF">2022-06-14T10:53:00Z</dcterms:created>
  <dcterms:modified xsi:type="dcterms:W3CDTF">2022-06-14T10:53:00Z</dcterms:modified>
</cp:coreProperties>
</file>